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E1024" w14:paraId="5409F00F" w14:textId="77777777">
        <w:tc>
          <w:tcPr>
            <w:tcW w:w="0" w:type="auto"/>
            <w:tcBorders>
              <w:top w:val="single" w:sz="1" w:space="0" w:color="1F3864"/>
              <w:left w:val="single" w:sz="1" w:space="0" w:color="1F3864"/>
              <w:bottom w:val="single" w:sz="1" w:space="0" w:color="1F3864"/>
              <w:right w:val="single" w:sz="1" w:space="0" w:color="1F3864"/>
            </w:tcBorders>
            <w:shd w:val="clear" w:color="auto" w:fill="1F3864"/>
            <w:tcMar>
              <w:top w:w="220" w:type="dxa"/>
              <w:left w:w="300" w:type="dxa"/>
              <w:bottom w:w="220" w:type="dxa"/>
              <w:right w:w="300" w:type="dxa"/>
            </w:tcMar>
          </w:tcPr>
          <w:p w14:paraId="51E23211" w14:textId="77777777" w:rsidR="002E1024" w:rsidRDefault="00000000">
            <w:pPr>
              <w:spacing w:before="60" w:after="50"/>
              <w:jc w:val="center"/>
            </w:pPr>
            <w:r>
              <w:rPr>
                <w:rFonts w:eastAsia="Arial"/>
                <w:b/>
                <w:bCs/>
                <w:color w:val="FFFFFF"/>
                <w:sz w:val="34"/>
                <w:szCs w:val="34"/>
              </w:rPr>
              <w:t>OPERATIONAL GOVERNANCE OVERVIEW</w:t>
            </w:r>
          </w:p>
          <w:p w14:paraId="6DA7A8F7" w14:textId="77777777" w:rsidR="002E1024" w:rsidRDefault="00000000">
            <w:pPr>
              <w:spacing w:after="80"/>
              <w:jc w:val="center"/>
            </w:pPr>
            <w:r>
              <w:rPr>
                <w:rFonts w:eastAsia="Arial"/>
                <w:i/>
                <w:iCs/>
                <w:color w:val="D6E4F0"/>
              </w:rPr>
              <w:t>Fiat Currency ↔ Stablecoin Exchange  |  Compliance &amp; Internal Controls  |  For Counterparty Due Diligence</w:t>
            </w:r>
          </w:p>
        </w:tc>
      </w:tr>
      <w:tr w:rsidR="002E1024" w14:paraId="10895F13" w14:textId="77777777">
        <w:tc>
          <w:tcPr>
            <w:tcW w:w="0" w:type="auto"/>
            <w:tcBorders>
              <w:top w:val="single" w:sz="1" w:space="0" w:color="2E75B6"/>
              <w:left w:val="single" w:sz="1" w:space="0" w:color="2E75B6"/>
              <w:bottom w:val="single" w:sz="1" w:space="0" w:color="2E75B6"/>
              <w:right w:val="single" w:sz="1" w:space="0" w:color="2E75B6"/>
            </w:tcBorders>
            <w:shd w:val="clear" w:color="auto" w:fill="2E75B6"/>
            <w:tcMar>
              <w:top w:w="80" w:type="dxa"/>
              <w:left w:w="300" w:type="dxa"/>
              <w:bottom w:w="80" w:type="dxa"/>
              <w:right w:w="300" w:type="dxa"/>
            </w:tcMar>
          </w:tcPr>
          <w:p w14:paraId="1C4B51AF" w14:textId="0A7D6C03" w:rsidR="002E1024" w:rsidRDefault="00000000">
            <w:pPr>
              <w:jc w:val="center"/>
            </w:pPr>
            <w:r>
              <w:rPr>
                <w:rFonts w:eastAsia="Arial"/>
                <w:i/>
                <w:iCs/>
                <w:color w:val="FFFFFF"/>
                <w:sz w:val="17"/>
                <w:szCs w:val="17"/>
              </w:rPr>
              <w:t xml:space="preserve">Document Reference: ELRC-GOV-001 </w:t>
            </w:r>
            <w:proofErr w:type="gramStart"/>
            <w:r>
              <w:rPr>
                <w:rFonts w:eastAsia="Arial"/>
                <w:i/>
                <w:iCs/>
                <w:color w:val="FFFFFF"/>
                <w:sz w:val="17"/>
                <w:szCs w:val="17"/>
              </w:rPr>
              <w:t>v1.0  |</w:t>
            </w:r>
            <w:proofErr w:type="gramEnd"/>
            <w:r>
              <w:rPr>
                <w:rFonts w:eastAsia="Arial"/>
                <w:i/>
                <w:iCs/>
                <w:color w:val="FFFFFF"/>
                <w:sz w:val="17"/>
                <w:szCs w:val="17"/>
              </w:rPr>
              <w:t xml:space="preserve">  Effective: [</w:t>
            </w:r>
            <w:r w:rsidR="003F4A61">
              <w:rPr>
                <w:rFonts w:eastAsia="Arial"/>
                <w:i/>
                <w:iCs/>
                <w:color w:val="FFFFFF"/>
                <w:sz w:val="17"/>
                <w:szCs w:val="17"/>
              </w:rPr>
              <w:t>01/02/2026</w:t>
            </w:r>
            <w:proofErr w:type="gramStart"/>
            <w:r>
              <w:rPr>
                <w:rFonts w:eastAsia="Arial"/>
                <w:i/>
                <w:iCs/>
                <w:color w:val="FFFFFF"/>
                <w:sz w:val="17"/>
                <w:szCs w:val="17"/>
              </w:rPr>
              <w:t>]  |</w:t>
            </w:r>
            <w:proofErr w:type="gramEnd"/>
            <w:r>
              <w:rPr>
                <w:rFonts w:eastAsia="Arial"/>
                <w:i/>
                <w:iCs/>
                <w:color w:val="FFFFFF"/>
                <w:sz w:val="17"/>
                <w:szCs w:val="17"/>
              </w:rPr>
              <w:t xml:space="preserve">  Prepared by: Compliance Officer</w:t>
            </w:r>
          </w:p>
        </w:tc>
      </w:tr>
    </w:tbl>
    <w:p w14:paraId="01110DBC" w14:textId="77777777" w:rsidR="002E1024" w:rsidRDefault="002E102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2E1024" w14:paraId="1FEA778A" w14:textId="77777777">
        <w:tc>
          <w:tcPr>
            <w:tcW w:w="2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064890C2" w14:textId="77777777" w:rsidR="002E1024" w:rsidRDefault="00000000">
            <w:pPr>
              <w:spacing w:before="40" w:after="40"/>
              <w:jc w:val="center"/>
            </w:pPr>
            <w:r>
              <w:rPr>
                <w:rFonts w:eastAsia="Arial"/>
                <w:b/>
                <w:bCs/>
                <w:color w:val="FFFFFF"/>
                <w:sz w:val="19"/>
                <w:szCs w:val="19"/>
              </w:rPr>
              <w:t>Legal Entity</w:t>
            </w:r>
          </w:p>
        </w:tc>
        <w:tc>
          <w:tcPr>
            <w:tcW w:w="67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28E62371" w14:textId="77777777" w:rsidR="002E1024" w:rsidRDefault="00000000">
            <w:pPr>
              <w:spacing w:before="40" w:after="40"/>
            </w:pPr>
            <w:r>
              <w:rPr>
                <w:rFonts w:eastAsia="Arial"/>
                <w:b/>
                <w:bCs/>
                <w:color w:val="1F3864"/>
                <w:sz w:val="19"/>
                <w:szCs w:val="19"/>
              </w:rPr>
              <w:t>ELRC TRADING Pty Ltd</w:t>
            </w:r>
          </w:p>
        </w:tc>
      </w:tr>
      <w:tr w:rsidR="002E1024" w14:paraId="12DAEC73" w14:textId="77777777">
        <w:tc>
          <w:tcPr>
            <w:tcW w:w="2600" w:type="dxa"/>
            <w:tcBorders>
              <w:top w:val="single" w:sz="1" w:space="0" w:color="CCCCCC"/>
              <w:left w:val="single" w:sz="1" w:space="0" w:color="CCCCCC"/>
              <w:bottom w:val="single" w:sz="1" w:space="0" w:color="CCCCCC"/>
              <w:right w:val="single" w:sz="1" w:space="0" w:color="CCCCCC"/>
            </w:tcBorders>
            <w:shd w:val="clear" w:color="auto" w:fill="F4F6F6"/>
            <w:tcMar>
              <w:top w:w="80" w:type="dxa"/>
              <w:left w:w="120" w:type="dxa"/>
              <w:bottom w:w="80" w:type="dxa"/>
              <w:right w:w="120" w:type="dxa"/>
            </w:tcMar>
          </w:tcPr>
          <w:p w14:paraId="00F89DED" w14:textId="77777777" w:rsidR="002E1024" w:rsidRDefault="00000000">
            <w:pPr>
              <w:spacing w:before="40" w:after="40"/>
              <w:jc w:val="center"/>
            </w:pPr>
            <w:r>
              <w:rPr>
                <w:rFonts w:eastAsia="Arial"/>
                <w:color w:val="555555"/>
                <w:sz w:val="19"/>
                <w:szCs w:val="19"/>
              </w:rPr>
              <w:t>ACN</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CF2C14" w14:textId="77777777" w:rsidR="002E1024" w:rsidRDefault="00000000">
            <w:pPr>
              <w:spacing w:before="40" w:after="40"/>
            </w:pPr>
            <w:r>
              <w:rPr>
                <w:rFonts w:eastAsia="Arial"/>
                <w:sz w:val="19"/>
                <w:szCs w:val="19"/>
              </w:rPr>
              <w:t>686 501 995</w:t>
            </w:r>
          </w:p>
        </w:tc>
      </w:tr>
      <w:tr w:rsidR="002E1024" w14:paraId="76C59281" w14:textId="77777777">
        <w:tc>
          <w:tcPr>
            <w:tcW w:w="2600" w:type="dxa"/>
            <w:tcBorders>
              <w:top w:val="single" w:sz="1" w:space="0" w:color="CCCCCC"/>
              <w:left w:val="single" w:sz="1" w:space="0" w:color="CCCCCC"/>
              <w:bottom w:val="single" w:sz="1" w:space="0" w:color="CCCCCC"/>
              <w:right w:val="single" w:sz="1" w:space="0" w:color="CCCCCC"/>
            </w:tcBorders>
            <w:shd w:val="clear" w:color="auto" w:fill="F4F6F6"/>
            <w:tcMar>
              <w:top w:w="80" w:type="dxa"/>
              <w:left w:w="120" w:type="dxa"/>
              <w:bottom w:w="80" w:type="dxa"/>
              <w:right w:w="120" w:type="dxa"/>
            </w:tcMar>
          </w:tcPr>
          <w:p w14:paraId="73ADB1B2" w14:textId="77777777" w:rsidR="002E1024" w:rsidRDefault="00000000">
            <w:pPr>
              <w:spacing w:before="40" w:after="40"/>
              <w:jc w:val="center"/>
            </w:pPr>
            <w:r>
              <w:rPr>
                <w:rFonts w:eastAsia="Arial"/>
                <w:color w:val="555555"/>
                <w:sz w:val="19"/>
                <w:szCs w:val="19"/>
              </w:rPr>
              <w:t>AUSTRAC — DCE</w:t>
            </w:r>
          </w:p>
        </w:tc>
        <w:tc>
          <w:tcPr>
            <w:tcW w:w="67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6986E329" w14:textId="77777777" w:rsidR="002E1024" w:rsidRDefault="00000000">
            <w:pPr>
              <w:spacing w:before="40" w:after="40"/>
            </w:pPr>
            <w:r>
              <w:rPr>
                <w:rFonts w:eastAsia="Arial"/>
                <w:sz w:val="19"/>
                <w:szCs w:val="19"/>
              </w:rPr>
              <w:t>DEC100894298-001  (Digital Currency Exchange Provider — Active)</w:t>
            </w:r>
          </w:p>
        </w:tc>
      </w:tr>
      <w:tr w:rsidR="002E1024" w14:paraId="386FB623" w14:textId="77777777">
        <w:tc>
          <w:tcPr>
            <w:tcW w:w="2600" w:type="dxa"/>
            <w:tcBorders>
              <w:top w:val="single" w:sz="1" w:space="0" w:color="CCCCCC"/>
              <w:left w:val="single" w:sz="1" w:space="0" w:color="CCCCCC"/>
              <w:bottom w:val="single" w:sz="1" w:space="0" w:color="CCCCCC"/>
              <w:right w:val="single" w:sz="1" w:space="0" w:color="CCCCCC"/>
            </w:tcBorders>
            <w:shd w:val="clear" w:color="auto" w:fill="F4F6F6"/>
            <w:tcMar>
              <w:top w:w="80" w:type="dxa"/>
              <w:left w:w="120" w:type="dxa"/>
              <w:bottom w:w="80" w:type="dxa"/>
              <w:right w:w="120" w:type="dxa"/>
            </w:tcMar>
          </w:tcPr>
          <w:p w14:paraId="14924D50" w14:textId="77777777" w:rsidR="002E1024" w:rsidRDefault="00000000">
            <w:pPr>
              <w:spacing w:before="40" w:after="40"/>
              <w:jc w:val="center"/>
            </w:pPr>
            <w:r>
              <w:rPr>
                <w:rFonts w:eastAsia="Arial"/>
                <w:color w:val="555555"/>
                <w:sz w:val="19"/>
                <w:szCs w:val="19"/>
              </w:rPr>
              <w:t>AUSTRAC — Remittance</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AC9F7F" w14:textId="77777777" w:rsidR="002E1024" w:rsidRDefault="00000000">
            <w:pPr>
              <w:spacing w:before="40" w:after="40"/>
            </w:pPr>
            <w:r>
              <w:rPr>
                <w:rFonts w:eastAsia="Arial"/>
                <w:sz w:val="19"/>
                <w:szCs w:val="19"/>
              </w:rPr>
              <w:t>IND100894298-001  (Independent Remittance Dealer — Active)</w:t>
            </w:r>
          </w:p>
        </w:tc>
      </w:tr>
      <w:tr w:rsidR="002E1024" w14:paraId="4E9082EA" w14:textId="77777777">
        <w:tc>
          <w:tcPr>
            <w:tcW w:w="2600" w:type="dxa"/>
            <w:tcBorders>
              <w:top w:val="single" w:sz="1" w:space="0" w:color="CCCCCC"/>
              <w:left w:val="single" w:sz="1" w:space="0" w:color="CCCCCC"/>
              <w:bottom w:val="single" w:sz="1" w:space="0" w:color="CCCCCC"/>
              <w:right w:val="single" w:sz="1" w:space="0" w:color="CCCCCC"/>
            </w:tcBorders>
            <w:shd w:val="clear" w:color="auto" w:fill="F4F6F6"/>
            <w:tcMar>
              <w:top w:w="80" w:type="dxa"/>
              <w:left w:w="120" w:type="dxa"/>
              <w:bottom w:w="80" w:type="dxa"/>
              <w:right w:w="120" w:type="dxa"/>
            </w:tcMar>
          </w:tcPr>
          <w:p w14:paraId="30AB1EE1" w14:textId="77777777" w:rsidR="002E1024" w:rsidRDefault="00000000">
            <w:pPr>
              <w:spacing w:before="40" w:after="40"/>
              <w:jc w:val="center"/>
            </w:pPr>
            <w:r>
              <w:rPr>
                <w:rFonts w:eastAsia="Arial"/>
                <w:color w:val="555555"/>
                <w:sz w:val="19"/>
                <w:szCs w:val="19"/>
              </w:rPr>
              <w:t>Registered Address</w:t>
            </w:r>
          </w:p>
        </w:tc>
        <w:tc>
          <w:tcPr>
            <w:tcW w:w="67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2FCC6020" w14:textId="77777777" w:rsidR="002E1024" w:rsidRDefault="00000000">
            <w:pPr>
              <w:spacing w:before="40" w:after="40"/>
            </w:pPr>
            <w:r>
              <w:rPr>
                <w:rFonts w:eastAsia="Arial"/>
                <w:sz w:val="19"/>
                <w:szCs w:val="19"/>
              </w:rPr>
              <w:t>Suites 101 &amp; 101A, 486 Whitehorse Road, Surrey Hills VIC 3127, Australia</w:t>
            </w:r>
          </w:p>
        </w:tc>
      </w:tr>
      <w:tr w:rsidR="002E1024" w14:paraId="6C372807" w14:textId="77777777">
        <w:tc>
          <w:tcPr>
            <w:tcW w:w="2600" w:type="dxa"/>
            <w:tcBorders>
              <w:top w:val="single" w:sz="1" w:space="0" w:color="CCCCCC"/>
              <w:left w:val="single" w:sz="1" w:space="0" w:color="CCCCCC"/>
              <w:bottom w:val="single" w:sz="1" w:space="0" w:color="CCCCCC"/>
              <w:right w:val="single" w:sz="1" w:space="0" w:color="CCCCCC"/>
            </w:tcBorders>
            <w:shd w:val="clear" w:color="auto" w:fill="F4F6F6"/>
            <w:tcMar>
              <w:top w:w="80" w:type="dxa"/>
              <w:left w:w="120" w:type="dxa"/>
              <w:bottom w:w="80" w:type="dxa"/>
              <w:right w:w="120" w:type="dxa"/>
            </w:tcMar>
          </w:tcPr>
          <w:p w14:paraId="18FB3C4D" w14:textId="77777777" w:rsidR="002E1024" w:rsidRDefault="00000000">
            <w:pPr>
              <w:spacing w:before="40" w:after="40"/>
              <w:jc w:val="center"/>
            </w:pPr>
            <w:r>
              <w:rPr>
                <w:rFonts w:eastAsia="Arial"/>
                <w:color w:val="555555"/>
                <w:sz w:val="19"/>
                <w:szCs w:val="19"/>
              </w:rPr>
              <w:t>Contact</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452206" w14:textId="77777777" w:rsidR="002E1024" w:rsidRDefault="00000000">
            <w:pPr>
              <w:spacing w:before="40" w:after="40"/>
            </w:pPr>
            <w:r>
              <w:rPr>
                <w:rFonts w:eastAsia="Arial"/>
                <w:sz w:val="19"/>
                <w:szCs w:val="19"/>
              </w:rPr>
              <w:t>compliance@elrctrading.com  |  +61 3 8658 7856</w:t>
            </w:r>
          </w:p>
        </w:tc>
      </w:tr>
      <w:tr w:rsidR="002E1024" w14:paraId="16751B7D" w14:textId="77777777">
        <w:tc>
          <w:tcPr>
            <w:tcW w:w="2600" w:type="dxa"/>
            <w:tcBorders>
              <w:top w:val="single" w:sz="1" w:space="0" w:color="CCCCCC"/>
              <w:left w:val="single" w:sz="1" w:space="0" w:color="CCCCCC"/>
              <w:bottom w:val="single" w:sz="1" w:space="0" w:color="CCCCCC"/>
              <w:right w:val="single" w:sz="1" w:space="0" w:color="CCCCCC"/>
            </w:tcBorders>
            <w:shd w:val="clear" w:color="auto" w:fill="F4F6F6"/>
            <w:tcMar>
              <w:top w:w="80" w:type="dxa"/>
              <w:left w:w="120" w:type="dxa"/>
              <w:bottom w:w="80" w:type="dxa"/>
              <w:right w:w="120" w:type="dxa"/>
            </w:tcMar>
          </w:tcPr>
          <w:p w14:paraId="1B078B4F" w14:textId="77777777" w:rsidR="002E1024" w:rsidRDefault="00000000">
            <w:pPr>
              <w:spacing w:before="40" w:after="40"/>
              <w:jc w:val="center"/>
            </w:pPr>
            <w:r>
              <w:rPr>
                <w:rFonts w:eastAsia="Arial"/>
                <w:color w:val="555555"/>
                <w:sz w:val="19"/>
                <w:szCs w:val="19"/>
              </w:rPr>
              <w:t>Services</w:t>
            </w:r>
          </w:p>
        </w:tc>
        <w:tc>
          <w:tcPr>
            <w:tcW w:w="67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0B78056F" w14:textId="77777777" w:rsidR="002E1024" w:rsidRDefault="00000000">
            <w:pPr>
              <w:spacing w:before="40" w:after="40"/>
            </w:pPr>
            <w:r>
              <w:rPr>
                <w:rFonts w:eastAsia="Arial"/>
                <w:sz w:val="19"/>
                <w:szCs w:val="19"/>
              </w:rPr>
              <w:t>OTC exchange of fiat currencies (including AUD) for stablecoins (USDT, USDC) — Australian corporate clients only</w:t>
            </w:r>
          </w:p>
        </w:tc>
      </w:tr>
    </w:tbl>
    <w:p w14:paraId="25AC4BAD" w14:textId="77777777" w:rsidR="002E1024" w:rsidRDefault="002E1024">
      <w:pPr>
        <w:spacing w:before="40" w:after="40"/>
      </w:pPr>
    </w:p>
    <w:p w14:paraId="5DDFE757" w14:textId="77777777" w:rsidR="002E1024" w:rsidRDefault="00000000">
      <w:pPr>
        <w:pStyle w:val="1"/>
        <w:pBdr>
          <w:bottom w:val="single" w:sz="5" w:space="3" w:color="2E75B6"/>
        </w:pBdr>
      </w:pPr>
      <w:r>
        <w:t>1.  Purpose of This Document</w:t>
      </w:r>
    </w:p>
    <w:p w14:paraId="71BAD6FC" w14:textId="77777777" w:rsidR="002E1024" w:rsidRDefault="00000000">
      <w:pPr>
        <w:spacing w:before="60" w:after="60"/>
      </w:pPr>
      <w:r>
        <w:rPr>
          <w:rFonts w:eastAsia="Arial"/>
        </w:rPr>
        <w:t>This document provides an overview of ELRC TRADING Pty Ltd's operational governance structure, internal controls, and compliance framework for the purpose of counterparty due diligence. It is intended for submission to institutional partners, digital asset exchanges, and regulated financial institutions as part of their onboarding or periodic review process.</w:t>
      </w:r>
    </w:p>
    <w:p w14:paraId="27D66E58" w14:textId="77777777" w:rsidR="002E1024" w:rsidRDefault="002E1024">
      <w:pPr>
        <w:spacing w:before="40" w:after="40"/>
      </w:pPr>
    </w:p>
    <w:p w14:paraId="6853F5EA" w14:textId="77777777" w:rsidR="002E1024" w:rsidRDefault="00000000">
      <w:pPr>
        <w:pStyle w:val="1"/>
        <w:pBdr>
          <w:bottom w:val="single" w:sz="5" w:space="3" w:color="2E75B6"/>
        </w:pBdr>
      </w:pPr>
      <w:r>
        <w:t>2.  Governance &amp; Team Structure</w:t>
      </w:r>
    </w:p>
    <w:p w14:paraId="780E0AF0" w14:textId="77777777" w:rsidR="002E1024" w:rsidRDefault="00000000">
      <w:pPr>
        <w:spacing w:before="60" w:after="60"/>
      </w:pPr>
      <w:r>
        <w:rPr>
          <w:rFonts w:eastAsia="Arial"/>
        </w:rPr>
        <w:t>ELRC operates with four personnel. Roles are structured to ensure segregation of duties — no single person can both initiate a transaction and approve it, and compliance decisions are independent from commercial activities.</w:t>
      </w:r>
    </w:p>
    <w:p w14:paraId="4DC69FD5" w14:textId="77777777" w:rsidR="002E1024" w:rsidRDefault="002E102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5360"/>
      </w:tblGrid>
      <w:tr w:rsidR="002E1024" w14:paraId="03036F5B" w14:textId="77777777">
        <w:tc>
          <w:tcPr>
            <w:tcW w:w="20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57EE97F4" w14:textId="77777777" w:rsidR="002E1024" w:rsidRDefault="00000000">
            <w:pPr>
              <w:spacing w:before="40" w:after="40"/>
              <w:jc w:val="center"/>
            </w:pPr>
            <w:r>
              <w:rPr>
                <w:rFonts w:eastAsia="Arial"/>
                <w:b/>
                <w:bCs/>
                <w:color w:val="FFFFFF"/>
                <w:sz w:val="19"/>
                <w:szCs w:val="19"/>
              </w:rPr>
              <w:t>Role</w:t>
            </w:r>
          </w:p>
        </w:tc>
        <w:tc>
          <w:tcPr>
            <w:tcW w:w="20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774842DB" w14:textId="77777777" w:rsidR="002E1024" w:rsidRDefault="00000000">
            <w:pPr>
              <w:spacing w:before="40" w:after="40"/>
              <w:jc w:val="center"/>
            </w:pPr>
            <w:r>
              <w:rPr>
                <w:rFonts w:eastAsia="Arial"/>
                <w:b/>
                <w:bCs/>
                <w:color w:val="FFFFFF"/>
                <w:sz w:val="19"/>
                <w:szCs w:val="19"/>
              </w:rPr>
              <w:t>Title</w:t>
            </w:r>
          </w:p>
        </w:tc>
        <w:tc>
          <w:tcPr>
            <w:tcW w:w="53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2A39B5E2" w14:textId="77777777" w:rsidR="002E1024" w:rsidRDefault="00000000">
            <w:pPr>
              <w:spacing w:before="40" w:after="40"/>
              <w:jc w:val="center"/>
            </w:pPr>
            <w:r>
              <w:rPr>
                <w:rFonts w:eastAsia="Arial"/>
                <w:b/>
                <w:bCs/>
                <w:color w:val="FFFFFF"/>
                <w:sz w:val="19"/>
                <w:szCs w:val="19"/>
              </w:rPr>
              <w:t>Key Responsibilities</w:t>
            </w:r>
          </w:p>
        </w:tc>
      </w:tr>
      <w:tr w:rsidR="002E1024" w14:paraId="5D79CB84" w14:textId="77777777">
        <w:tc>
          <w:tcPr>
            <w:tcW w:w="20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35D397C7" w14:textId="77777777" w:rsidR="002E1024" w:rsidRDefault="00000000">
            <w:pPr>
              <w:spacing w:before="40" w:after="40"/>
              <w:jc w:val="center"/>
            </w:pPr>
            <w:r>
              <w:rPr>
                <w:rFonts w:eastAsia="Arial"/>
                <w:b/>
                <w:bCs/>
                <w:color w:val="1F3864"/>
                <w:sz w:val="19"/>
                <w:szCs w:val="19"/>
              </w:rPr>
              <w:t>Director</w:t>
            </w:r>
          </w:p>
        </w:tc>
        <w:tc>
          <w:tcPr>
            <w:tcW w:w="20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11727D19" w14:textId="098D32FE" w:rsidR="002E1024" w:rsidRDefault="00000000">
            <w:pPr>
              <w:spacing w:before="40" w:after="40"/>
            </w:pPr>
            <w:r>
              <w:rPr>
                <w:rFonts w:eastAsia="Arial"/>
                <w:sz w:val="19"/>
                <w:szCs w:val="19"/>
              </w:rPr>
              <w:t>[</w:t>
            </w:r>
            <w:r w:rsidR="00E66D25">
              <w:rPr>
                <w:rFonts w:eastAsia="Arial"/>
                <w:sz w:val="19"/>
                <w:szCs w:val="19"/>
              </w:rPr>
              <w:t>HAO CHEN</w:t>
            </w:r>
            <w:r>
              <w:rPr>
                <w:rFonts w:eastAsia="Arial"/>
                <w:sz w:val="19"/>
                <w:szCs w:val="19"/>
              </w:rPr>
              <w:t>]</w:t>
            </w:r>
          </w:p>
        </w:tc>
        <w:tc>
          <w:tcPr>
            <w:tcW w:w="53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7035DD5A" w14:textId="77777777" w:rsidR="002E1024" w:rsidRDefault="00000000">
            <w:pPr>
              <w:spacing w:before="40" w:after="40"/>
            </w:pPr>
            <w:r>
              <w:rPr>
                <w:rFonts w:eastAsia="Arial"/>
                <w:sz w:val="19"/>
                <w:szCs w:val="19"/>
              </w:rPr>
              <w:t>Final approval authority for high-risk onboarding and large transactions. Signing of AUSTRAC Annual Compliance Report and regulatory declarations. Does not participate in day-to-day transaction execution or KYB processing.</w:t>
            </w:r>
          </w:p>
        </w:tc>
      </w:tr>
      <w:tr w:rsidR="002E1024" w14:paraId="203D8226" w14:textId="77777777">
        <w:tc>
          <w:tcPr>
            <w:tcW w:w="20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4817087" w14:textId="77777777" w:rsidR="002E1024" w:rsidRDefault="00000000">
            <w:pPr>
              <w:spacing w:before="40" w:after="40"/>
              <w:jc w:val="center"/>
            </w:pPr>
            <w:r>
              <w:rPr>
                <w:rFonts w:eastAsia="Arial"/>
                <w:b/>
                <w:bCs/>
                <w:color w:val="1E6B3C"/>
                <w:sz w:val="19"/>
                <w:szCs w:val="19"/>
              </w:rPr>
              <w:t>Compliance Officer</w:t>
            </w:r>
          </w:p>
        </w:tc>
        <w:tc>
          <w:tcPr>
            <w:tcW w:w="20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14C6C243" w14:textId="3CC14322" w:rsidR="002E1024" w:rsidRDefault="00000000">
            <w:pPr>
              <w:spacing w:before="40" w:after="40"/>
            </w:pPr>
            <w:r>
              <w:rPr>
                <w:rFonts w:eastAsia="Arial"/>
                <w:sz w:val="19"/>
                <w:szCs w:val="19"/>
              </w:rPr>
              <w:t>[</w:t>
            </w:r>
            <w:r w:rsidR="00E66D25">
              <w:rPr>
                <w:rFonts w:eastAsia="Arial"/>
                <w:sz w:val="19"/>
                <w:szCs w:val="19"/>
              </w:rPr>
              <w:t>ZIQIAN TAN</w:t>
            </w:r>
            <w:r>
              <w:rPr>
                <w:rFonts w:eastAsia="Arial"/>
                <w:sz w:val="19"/>
                <w:szCs w:val="19"/>
              </w:rPr>
              <w:t>]</w:t>
            </w:r>
          </w:p>
        </w:tc>
        <w:tc>
          <w:tcPr>
            <w:tcW w:w="536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817484D" w14:textId="2170648B" w:rsidR="002E1024" w:rsidRDefault="00000000">
            <w:pPr>
              <w:spacing w:before="40" w:after="40"/>
            </w:pPr>
            <w:r>
              <w:rPr>
                <w:rFonts w:eastAsia="Arial"/>
                <w:sz w:val="19"/>
                <w:szCs w:val="19"/>
              </w:rPr>
              <w:t>End-to-end KYB verification; sanctions and PEP screening via ComplyAdvantage; risk assessment (CRAF); client onboarding approval (LOW/MEDIUM risk); all AUSTRAC report filings (SMR, TTR, IFTI); transaction monitoring. Independent of commercial/sales activities.</w:t>
            </w:r>
          </w:p>
        </w:tc>
      </w:tr>
      <w:tr w:rsidR="002E1024" w14:paraId="40C79CE9" w14:textId="77777777">
        <w:tc>
          <w:tcPr>
            <w:tcW w:w="20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72B6ACEA" w14:textId="77777777" w:rsidR="002E1024" w:rsidRDefault="00000000">
            <w:pPr>
              <w:spacing w:before="40" w:after="40"/>
              <w:jc w:val="center"/>
            </w:pPr>
            <w:r>
              <w:rPr>
                <w:rFonts w:eastAsia="Arial"/>
                <w:b/>
                <w:bCs/>
                <w:color w:val="2E75B6"/>
                <w:sz w:val="19"/>
                <w:szCs w:val="19"/>
              </w:rPr>
              <w:t>Dealer / Operations</w:t>
            </w:r>
          </w:p>
        </w:tc>
        <w:tc>
          <w:tcPr>
            <w:tcW w:w="20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6514874A" w14:textId="2DE0DCD0" w:rsidR="002E1024" w:rsidRDefault="00000000">
            <w:pPr>
              <w:spacing w:before="40" w:after="40"/>
            </w:pPr>
            <w:r>
              <w:rPr>
                <w:rFonts w:eastAsia="Arial"/>
                <w:sz w:val="19"/>
                <w:szCs w:val="19"/>
              </w:rPr>
              <w:t>[</w:t>
            </w:r>
            <w:r w:rsidR="00E66D25">
              <w:rPr>
                <w:rFonts w:eastAsia="Arial"/>
                <w:sz w:val="19"/>
                <w:szCs w:val="19"/>
              </w:rPr>
              <w:t>JIE LI</w:t>
            </w:r>
            <w:r>
              <w:rPr>
                <w:rFonts w:eastAsia="Arial"/>
                <w:sz w:val="19"/>
                <w:szCs w:val="19"/>
              </w:rPr>
              <w:t>]</w:t>
            </w:r>
          </w:p>
        </w:tc>
        <w:tc>
          <w:tcPr>
            <w:tcW w:w="53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5F970C81" w14:textId="77777777" w:rsidR="002E1024" w:rsidRDefault="00000000">
            <w:pPr>
              <w:spacing w:before="40" w:after="40"/>
            </w:pPr>
            <w:r>
              <w:rPr>
                <w:rFonts w:eastAsia="Arial"/>
                <w:sz w:val="19"/>
                <w:szCs w:val="19"/>
              </w:rPr>
              <w:t>Transaction quotation and execution; fiat currency / stablecoin settlement; transaction record keeping. Subject to approval thresholds — cannot self-approve transactions above defined limits. Does not make compliance or onboarding decisions.</w:t>
            </w:r>
          </w:p>
        </w:tc>
      </w:tr>
      <w:tr w:rsidR="002E1024" w14:paraId="27376652" w14:textId="77777777">
        <w:tc>
          <w:tcPr>
            <w:tcW w:w="2000" w:type="dxa"/>
            <w:tcBorders>
              <w:top w:val="single" w:sz="1" w:space="0" w:color="CCCCCC"/>
              <w:left w:val="single" w:sz="1" w:space="0" w:color="CCCCCC"/>
              <w:bottom w:val="single" w:sz="1" w:space="0" w:color="CCCCCC"/>
              <w:right w:val="single" w:sz="1" w:space="0" w:color="CCCCCC"/>
            </w:tcBorders>
            <w:shd w:val="clear" w:color="auto" w:fill="FEF3D0"/>
            <w:tcMar>
              <w:top w:w="80" w:type="dxa"/>
              <w:left w:w="120" w:type="dxa"/>
              <w:bottom w:w="80" w:type="dxa"/>
              <w:right w:w="120" w:type="dxa"/>
            </w:tcMar>
          </w:tcPr>
          <w:p w14:paraId="44DB6DA3" w14:textId="77777777" w:rsidR="002E1024" w:rsidRDefault="00000000">
            <w:pPr>
              <w:spacing w:before="40" w:after="40"/>
              <w:jc w:val="center"/>
            </w:pPr>
            <w:r>
              <w:rPr>
                <w:rFonts w:eastAsia="Arial"/>
                <w:b/>
                <w:bCs/>
                <w:color w:val="7D4000"/>
                <w:sz w:val="19"/>
                <w:szCs w:val="19"/>
              </w:rPr>
              <w:lastRenderedPageBreak/>
              <w:t>Sales / BDM</w:t>
            </w:r>
          </w:p>
        </w:tc>
        <w:tc>
          <w:tcPr>
            <w:tcW w:w="2000" w:type="dxa"/>
            <w:tcBorders>
              <w:top w:val="single" w:sz="1" w:space="0" w:color="CCCCCC"/>
              <w:left w:val="single" w:sz="1" w:space="0" w:color="CCCCCC"/>
              <w:bottom w:val="single" w:sz="1" w:space="0" w:color="CCCCCC"/>
              <w:right w:val="single" w:sz="1" w:space="0" w:color="CCCCCC"/>
            </w:tcBorders>
            <w:shd w:val="clear" w:color="auto" w:fill="FEF3D0"/>
            <w:tcMar>
              <w:top w:w="80" w:type="dxa"/>
              <w:left w:w="120" w:type="dxa"/>
              <w:bottom w:w="80" w:type="dxa"/>
              <w:right w:w="120" w:type="dxa"/>
            </w:tcMar>
          </w:tcPr>
          <w:p w14:paraId="3109DBA2" w14:textId="6B3452A5" w:rsidR="002E1024" w:rsidRDefault="00000000">
            <w:pPr>
              <w:spacing w:before="40" w:after="40"/>
            </w:pPr>
            <w:r>
              <w:rPr>
                <w:rFonts w:eastAsia="Arial"/>
                <w:sz w:val="19"/>
                <w:szCs w:val="19"/>
              </w:rPr>
              <w:t>[</w:t>
            </w:r>
            <w:r w:rsidR="00E66D25">
              <w:rPr>
                <w:rFonts w:eastAsia="Arial"/>
                <w:sz w:val="19"/>
                <w:szCs w:val="19"/>
              </w:rPr>
              <w:t>YUHAO ZHOU</w:t>
            </w:r>
            <w:r>
              <w:rPr>
                <w:rFonts w:eastAsia="Arial"/>
                <w:sz w:val="19"/>
                <w:szCs w:val="19"/>
              </w:rPr>
              <w:t>]</w:t>
            </w:r>
          </w:p>
        </w:tc>
        <w:tc>
          <w:tcPr>
            <w:tcW w:w="5360" w:type="dxa"/>
            <w:tcBorders>
              <w:top w:val="single" w:sz="1" w:space="0" w:color="CCCCCC"/>
              <w:left w:val="single" w:sz="1" w:space="0" w:color="CCCCCC"/>
              <w:bottom w:val="single" w:sz="1" w:space="0" w:color="CCCCCC"/>
              <w:right w:val="single" w:sz="1" w:space="0" w:color="CCCCCC"/>
            </w:tcBorders>
            <w:shd w:val="clear" w:color="auto" w:fill="FEF3D0"/>
            <w:tcMar>
              <w:top w:w="80" w:type="dxa"/>
              <w:left w:w="120" w:type="dxa"/>
              <w:bottom w:w="80" w:type="dxa"/>
              <w:right w:w="120" w:type="dxa"/>
            </w:tcMar>
          </w:tcPr>
          <w:p w14:paraId="623BB263" w14:textId="77777777" w:rsidR="002E1024" w:rsidRDefault="00000000">
            <w:pPr>
              <w:spacing w:before="40" w:after="40"/>
            </w:pPr>
            <w:r>
              <w:rPr>
                <w:rFonts w:eastAsia="Arial"/>
                <w:sz w:val="19"/>
                <w:szCs w:val="19"/>
              </w:rPr>
              <w:t>Client relationship management and business development. Collects KYB documents from prospective clients and hands them to the Compliance Officer for independent review. Has no authority to approve or override compliance decisions or to independently quote rates.</w:t>
            </w:r>
          </w:p>
        </w:tc>
      </w:tr>
    </w:tbl>
    <w:p w14:paraId="135D0FEA" w14:textId="77777777" w:rsidR="002E1024" w:rsidRDefault="002E102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E1024" w14:paraId="2D530094" w14:textId="77777777">
        <w:tc>
          <w:tcPr>
            <w:tcW w:w="9360" w:type="dxa"/>
            <w:tcBorders>
              <w:top w:val="single" w:sz="1" w:space="0" w:color="2E75B6"/>
              <w:left w:val="single" w:sz="1" w:space="0" w:color="2E75B6"/>
              <w:bottom w:val="single" w:sz="1" w:space="0" w:color="2E75B6"/>
              <w:right w:val="single" w:sz="1" w:space="0" w:color="2E75B6"/>
            </w:tcBorders>
            <w:shd w:val="clear" w:color="auto" w:fill="EBF3FB"/>
            <w:tcMar>
              <w:top w:w="100" w:type="dxa"/>
              <w:left w:w="200" w:type="dxa"/>
              <w:bottom w:w="100" w:type="dxa"/>
              <w:right w:w="200" w:type="dxa"/>
            </w:tcMar>
          </w:tcPr>
          <w:p w14:paraId="7438395B" w14:textId="77777777" w:rsidR="002E1024" w:rsidRDefault="00000000">
            <w:pPr>
              <w:spacing w:before="36" w:after="36"/>
            </w:pPr>
            <w:r>
              <w:rPr>
                <w:rFonts w:eastAsia="Arial"/>
                <w:b/>
                <w:bCs/>
                <w:color w:val="1F3864"/>
                <w:sz w:val="19"/>
                <w:szCs w:val="19"/>
              </w:rPr>
              <w:t>Segregation of Duties Principle</w:t>
            </w:r>
          </w:p>
          <w:p w14:paraId="2BFD3E7D" w14:textId="77777777" w:rsidR="002E1024" w:rsidRDefault="00000000">
            <w:pPr>
              <w:spacing w:before="36" w:after="36"/>
            </w:pPr>
            <w:r>
              <w:rPr>
                <w:rFonts w:eastAsia="Arial"/>
                <w:color w:val="333333"/>
                <w:sz w:val="19"/>
                <w:szCs w:val="19"/>
              </w:rPr>
              <w:t>The person who executes a transaction does not approve it. The person who originates a client relationship does not make the compliance decision to onboard that client. This separation is enforced operationally and documented in ELRC's internal workflow policy (ELRC-OPS-WRK-001).</w:t>
            </w:r>
          </w:p>
        </w:tc>
      </w:tr>
    </w:tbl>
    <w:p w14:paraId="6449E5F6" w14:textId="77777777" w:rsidR="002E1024" w:rsidRDefault="002E1024">
      <w:pPr>
        <w:spacing w:before="40" w:after="40"/>
      </w:pPr>
    </w:p>
    <w:p w14:paraId="0207F10D" w14:textId="77777777" w:rsidR="002E1024" w:rsidRDefault="00000000">
      <w:pPr>
        <w:pStyle w:val="1"/>
        <w:pBdr>
          <w:bottom w:val="single" w:sz="5" w:space="3" w:color="2E75B6"/>
        </w:pBdr>
      </w:pPr>
      <w:r>
        <w:t>3.  AML/CTF Compliance Program</w:t>
      </w:r>
    </w:p>
    <w:p w14:paraId="05B73BAB" w14:textId="77777777" w:rsidR="002E1024" w:rsidRDefault="00000000">
      <w:pPr>
        <w:spacing w:before="60" w:after="60"/>
      </w:pPr>
      <w:r>
        <w:rPr>
          <w:rFonts w:eastAsia="Arial"/>
        </w:rPr>
        <w:t>ELRC maintains a written AML/CTF Program compliant with the AML/CTF Act 2006 (Cth), covering both Part A (general compliance) and Part B (customer identification). The Program is reviewed annually and updated upon any material regulatory change.</w:t>
      </w:r>
    </w:p>
    <w:p w14:paraId="6178CE96" w14:textId="77777777" w:rsidR="002E1024" w:rsidRDefault="002E102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E1024" w14:paraId="6CE9BCDE" w14:textId="77777777">
        <w:tc>
          <w:tcPr>
            <w:tcW w:w="2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729A3B8F" w14:textId="77777777" w:rsidR="002E1024" w:rsidRDefault="00000000">
            <w:pPr>
              <w:spacing w:before="40" w:after="40"/>
              <w:jc w:val="center"/>
            </w:pPr>
            <w:r>
              <w:rPr>
                <w:rFonts w:eastAsia="Arial"/>
                <w:b/>
                <w:bCs/>
                <w:color w:val="FFFFFF"/>
                <w:sz w:val="19"/>
                <w:szCs w:val="19"/>
              </w:rPr>
              <w:t>Control Area</w:t>
            </w:r>
          </w:p>
        </w:tc>
        <w:tc>
          <w:tcPr>
            <w:tcW w:w="65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21EBC4CD" w14:textId="77777777" w:rsidR="002E1024" w:rsidRDefault="00000000">
            <w:pPr>
              <w:spacing w:before="40" w:after="40"/>
              <w:jc w:val="center"/>
            </w:pPr>
            <w:r>
              <w:rPr>
                <w:rFonts w:eastAsia="Arial"/>
                <w:b/>
                <w:bCs/>
                <w:color w:val="FFFFFF"/>
                <w:sz w:val="19"/>
                <w:szCs w:val="19"/>
              </w:rPr>
              <w:t>ELRC's Approach</w:t>
            </w:r>
          </w:p>
        </w:tc>
      </w:tr>
      <w:tr w:rsidR="002E1024" w14:paraId="2E0D219E"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5DFF8D07" w14:textId="77777777" w:rsidR="002E1024" w:rsidRDefault="00000000">
            <w:pPr>
              <w:spacing w:before="40" w:after="40"/>
            </w:pPr>
            <w:r>
              <w:rPr>
                <w:rFonts w:eastAsia="Arial"/>
                <w:b/>
                <w:bCs/>
                <w:color w:val="1F3864"/>
                <w:sz w:val="19"/>
                <w:szCs w:val="19"/>
              </w:rPr>
              <w:t>Customer Due Diligence</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2FD23377" w14:textId="77777777" w:rsidR="002E1024" w:rsidRDefault="00000000">
            <w:pPr>
              <w:spacing w:before="40" w:after="40"/>
            </w:pPr>
            <w:r>
              <w:rPr>
                <w:rFonts w:eastAsia="Arial"/>
                <w:sz w:val="19"/>
                <w:szCs w:val="19"/>
              </w:rPr>
              <w:t>All corporate clients undergo KYB verification before their first transaction. Required documents include: ASIC company extract, certificate of incorporation, board resolution, certified ID and proof of address for all authorised representatives and UBOs (≥25% threshold), beneficial ownership declaration, and source of funds documentation.</w:t>
            </w:r>
          </w:p>
        </w:tc>
      </w:tr>
      <w:tr w:rsidR="002E1024" w14:paraId="7321D298"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CF6584" w14:textId="77777777" w:rsidR="002E1024" w:rsidRDefault="00000000">
            <w:pPr>
              <w:spacing w:before="40" w:after="40"/>
            </w:pPr>
            <w:r>
              <w:rPr>
                <w:rFonts w:eastAsia="Arial"/>
                <w:b/>
                <w:bCs/>
                <w:color w:val="1F3864"/>
                <w:sz w:val="19"/>
                <w:szCs w:val="19"/>
              </w:rPr>
              <w:t>Sanctions &amp; PEP Screening</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765EDB" w14:textId="6CCAA7DF" w:rsidR="002E1024" w:rsidRDefault="00000000">
            <w:pPr>
              <w:spacing w:before="40" w:after="40"/>
            </w:pPr>
            <w:r>
              <w:rPr>
                <w:rFonts w:eastAsia="Arial"/>
                <w:sz w:val="19"/>
                <w:szCs w:val="19"/>
              </w:rPr>
              <w:t>Automated screening of all clients, authorised representatives, and UBOs at onboarding and on a minimum quarterly basis, using ComplyAdvantage. Screening covers: DFAT (Australian sanctions — primary), UN Security Council, OFAC, EU, and HMT consolidated lists, plus PEP databases and adverse media. All YELLOW matches require documented manual review by the Compliance Officer.</w:t>
            </w:r>
          </w:p>
        </w:tc>
      </w:tr>
      <w:tr w:rsidR="002E1024" w14:paraId="154505EA"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739905A8" w14:textId="77777777" w:rsidR="002E1024" w:rsidRDefault="00000000">
            <w:pPr>
              <w:spacing w:before="40" w:after="40"/>
            </w:pPr>
            <w:r>
              <w:rPr>
                <w:rFonts w:eastAsia="Arial"/>
                <w:b/>
                <w:bCs/>
                <w:color w:val="1F3864"/>
                <w:sz w:val="19"/>
                <w:szCs w:val="19"/>
              </w:rPr>
              <w:t>Risk-Based Approach</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507AE236" w14:textId="77777777" w:rsidR="002E1024" w:rsidRDefault="00000000">
            <w:pPr>
              <w:spacing w:before="40" w:after="40"/>
            </w:pPr>
            <w:r>
              <w:rPr>
                <w:rFonts w:eastAsia="Arial"/>
                <w:sz w:val="19"/>
                <w:szCs w:val="19"/>
              </w:rPr>
              <w:t>Each client is scored using ELRC's Client Risk Assessment Form (CRAF) across five factors: business type, geographic exposure, ownership complexity, transaction profile, and PEP exposure. Risk ratings (LOW / MEDIUM / HIGH / UNACCEPTABLE) determine due diligence level, approval authority, and ongoing monitoring frequency.</w:t>
            </w:r>
          </w:p>
        </w:tc>
      </w:tr>
      <w:tr w:rsidR="002E1024" w14:paraId="2AD9ADE2"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00A2C0" w14:textId="77777777" w:rsidR="002E1024" w:rsidRDefault="00000000">
            <w:pPr>
              <w:spacing w:before="40" w:after="40"/>
            </w:pPr>
            <w:r>
              <w:rPr>
                <w:rFonts w:eastAsia="Arial"/>
                <w:b/>
                <w:bCs/>
                <w:color w:val="1F3864"/>
                <w:sz w:val="19"/>
                <w:szCs w:val="19"/>
              </w:rPr>
              <w:t>Transaction Monitoring</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7050D3" w14:textId="77777777" w:rsidR="002E1024" w:rsidRDefault="00000000">
            <w:pPr>
              <w:spacing w:before="40" w:after="40"/>
            </w:pPr>
            <w:r>
              <w:rPr>
                <w:rFonts w:eastAsia="Arial"/>
                <w:sz w:val="19"/>
                <w:szCs w:val="19"/>
              </w:rPr>
              <w:t>All transactions are reviewed against each client's established profile. Automated alerts are generated for cash transactions at or above AUD 10,000 (TTR threshold) and for cross-border transfers (IFTI obligation). Suspicious patterns are escalated to the Compliance Officer within 4 business hours.</w:t>
            </w:r>
          </w:p>
        </w:tc>
      </w:tr>
      <w:tr w:rsidR="002E1024" w14:paraId="74A9AB3D"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7BF07AE9" w14:textId="77777777" w:rsidR="002E1024" w:rsidRDefault="00000000">
            <w:pPr>
              <w:spacing w:before="40" w:after="40"/>
            </w:pPr>
            <w:r>
              <w:rPr>
                <w:rFonts w:eastAsia="Arial"/>
                <w:b/>
                <w:bCs/>
                <w:color w:val="1F3864"/>
                <w:sz w:val="19"/>
                <w:szCs w:val="19"/>
              </w:rPr>
              <w:t>AUSTRAC Reporting</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53A8253E" w14:textId="77777777" w:rsidR="002E1024" w:rsidRDefault="00000000">
            <w:pPr>
              <w:spacing w:before="40" w:after="40"/>
            </w:pPr>
            <w:r>
              <w:rPr>
                <w:rFonts w:eastAsia="Arial"/>
                <w:sz w:val="19"/>
                <w:szCs w:val="19"/>
              </w:rPr>
              <w:t>ELRC files Suspicious Matter Reports (SMRs), Threshold Transaction Reports (TTRs), and International Funds Transfer Instructions (IFTIs) via AUSTRAC Online. SMRs relating to terrorism financing are filed within 24 hours; all other SMRs within 3 business days. TTRs and IFTIs are filed within 10 business days.</w:t>
            </w:r>
          </w:p>
        </w:tc>
      </w:tr>
      <w:tr w:rsidR="002E1024" w14:paraId="54E049A0"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1B3CB2" w14:textId="77777777" w:rsidR="002E1024" w:rsidRDefault="00000000">
            <w:pPr>
              <w:spacing w:before="40" w:after="40"/>
            </w:pPr>
            <w:r>
              <w:rPr>
                <w:rFonts w:eastAsia="Arial"/>
                <w:b/>
                <w:bCs/>
                <w:color w:val="1F3864"/>
                <w:sz w:val="19"/>
                <w:szCs w:val="19"/>
              </w:rPr>
              <w:t>Record Keeping</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F443F8" w14:textId="77777777" w:rsidR="002E1024" w:rsidRDefault="00000000">
            <w:pPr>
              <w:spacing w:before="40" w:after="40"/>
            </w:pPr>
            <w:r>
              <w:rPr>
                <w:rFonts w:eastAsia="Arial"/>
                <w:sz w:val="19"/>
                <w:szCs w:val="19"/>
              </w:rPr>
              <w:t>All AML/CTF records — including KYB files, screening reports, CRAFs, AUSTRAC filings, and transaction logs — are retained for a minimum of 7 years in accordance with AML/CTF Act Part 10. Records are stored in encrypted, access-controlled systems.</w:t>
            </w:r>
          </w:p>
        </w:tc>
      </w:tr>
      <w:tr w:rsidR="002E1024" w14:paraId="72BA5B6D"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3B75525F" w14:textId="77777777" w:rsidR="002E1024" w:rsidRDefault="00000000">
            <w:pPr>
              <w:spacing w:before="40" w:after="40"/>
            </w:pPr>
            <w:r>
              <w:rPr>
                <w:rFonts w:eastAsia="Arial"/>
                <w:b/>
                <w:bCs/>
                <w:color w:val="1F3864"/>
                <w:sz w:val="19"/>
                <w:szCs w:val="19"/>
              </w:rPr>
              <w:lastRenderedPageBreak/>
              <w:t>Staff Training</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1EE5D8C9" w14:textId="77777777" w:rsidR="002E1024" w:rsidRDefault="00000000">
            <w:pPr>
              <w:spacing w:before="40" w:after="40"/>
            </w:pPr>
            <w:r>
              <w:rPr>
                <w:rFonts w:eastAsia="Arial"/>
                <w:sz w:val="19"/>
                <w:szCs w:val="19"/>
              </w:rPr>
              <w:t>All staff with access to client accounts or transaction systems complete mandatory AML/CTF training at onboarding and annually. Training covers the AML/CTF legal framework, KYC/KYB procedures, sanctions screening, suspicious matter identification, and tipping-off obligations. Records are maintained for 7 years.</w:t>
            </w:r>
          </w:p>
        </w:tc>
      </w:tr>
    </w:tbl>
    <w:p w14:paraId="72525E94" w14:textId="77777777" w:rsidR="002E1024" w:rsidRDefault="002E1024">
      <w:pPr>
        <w:spacing w:before="40" w:after="40"/>
      </w:pPr>
    </w:p>
    <w:p w14:paraId="5D0348E1" w14:textId="77777777" w:rsidR="002E1024" w:rsidRDefault="00000000">
      <w:r>
        <w:br w:type="page"/>
      </w:r>
    </w:p>
    <w:p w14:paraId="620FB5FB" w14:textId="77777777" w:rsidR="002E1024" w:rsidRDefault="00000000">
      <w:pPr>
        <w:pStyle w:val="1"/>
        <w:pBdr>
          <w:bottom w:val="single" w:sz="5" w:space="3" w:color="2E75B6"/>
        </w:pBdr>
      </w:pPr>
      <w:r>
        <w:lastRenderedPageBreak/>
        <w:t>4.  Transaction Controls &amp; Approval Framework</w:t>
      </w:r>
    </w:p>
    <w:p w14:paraId="0FC53AA6" w14:textId="77777777" w:rsidR="002E1024" w:rsidRDefault="00000000">
      <w:pPr>
        <w:spacing w:before="60" w:after="60"/>
      </w:pPr>
      <w:r>
        <w:rPr>
          <w:rFonts w:eastAsia="Arial"/>
        </w:rPr>
        <w:t>Every transaction follows a structured approval framework. The Dealer executes transactions; approval authority escalates based on transaction size and client risk rating.</w:t>
      </w:r>
    </w:p>
    <w:p w14:paraId="1C67AB54" w14:textId="77777777" w:rsidR="002E1024" w:rsidRDefault="002E102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600"/>
        <w:gridCol w:w="3560"/>
      </w:tblGrid>
      <w:tr w:rsidR="002E1024" w14:paraId="4C246049"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502471C2" w14:textId="77777777" w:rsidR="002E1024" w:rsidRDefault="00000000">
            <w:pPr>
              <w:spacing w:before="40" w:after="40"/>
              <w:jc w:val="center"/>
            </w:pPr>
            <w:r>
              <w:rPr>
                <w:rFonts w:eastAsia="Arial"/>
                <w:b/>
                <w:bCs/>
                <w:color w:val="FFFFFF"/>
                <w:sz w:val="19"/>
                <w:szCs w:val="19"/>
              </w:rPr>
              <w:t>Transaction Threshold</w:t>
            </w:r>
          </w:p>
        </w:tc>
        <w:tc>
          <w:tcPr>
            <w:tcW w:w="2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212CFAD1" w14:textId="77777777" w:rsidR="002E1024" w:rsidRDefault="00000000">
            <w:pPr>
              <w:spacing w:before="40" w:after="40"/>
              <w:jc w:val="center"/>
            </w:pPr>
            <w:r>
              <w:rPr>
                <w:rFonts w:eastAsia="Arial"/>
                <w:b/>
                <w:bCs/>
                <w:color w:val="FFFFFF"/>
                <w:sz w:val="19"/>
                <w:szCs w:val="19"/>
              </w:rPr>
              <w:t>Approval Authority</w:t>
            </w:r>
          </w:p>
        </w:tc>
        <w:tc>
          <w:tcPr>
            <w:tcW w:w="35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559EE783" w14:textId="77777777" w:rsidR="002E1024" w:rsidRDefault="00000000">
            <w:pPr>
              <w:spacing w:before="40" w:after="40"/>
              <w:jc w:val="center"/>
            </w:pPr>
            <w:r>
              <w:rPr>
                <w:rFonts w:eastAsia="Arial"/>
                <w:b/>
                <w:bCs/>
                <w:color w:val="FFFFFF"/>
                <w:sz w:val="19"/>
                <w:szCs w:val="19"/>
              </w:rPr>
              <w:t>Process</w:t>
            </w:r>
          </w:p>
        </w:tc>
      </w:tr>
      <w:tr w:rsidR="002E1024" w14:paraId="247D343F" w14:textId="77777777">
        <w:tc>
          <w:tcPr>
            <w:tcW w:w="32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A8EA63D" w14:textId="77777777" w:rsidR="002E1024" w:rsidRDefault="00000000">
            <w:pPr>
              <w:spacing w:before="40" w:after="40"/>
            </w:pPr>
            <w:r>
              <w:rPr>
                <w:rFonts w:eastAsia="Arial"/>
                <w:b/>
                <w:bCs/>
                <w:color w:val="1E6B3C"/>
                <w:sz w:val="19"/>
                <w:szCs w:val="19"/>
              </w:rPr>
              <w:t>Standard transactions (≤ defined threshold)</w:t>
            </w:r>
          </w:p>
        </w:tc>
        <w:tc>
          <w:tcPr>
            <w:tcW w:w="260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3D8C4435" w14:textId="77777777" w:rsidR="002E1024" w:rsidRDefault="00000000">
            <w:pPr>
              <w:spacing w:before="40" w:after="40"/>
              <w:jc w:val="center"/>
            </w:pPr>
            <w:r>
              <w:rPr>
                <w:rFonts w:eastAsia="Arial"/>
                <w:color w:val="1E6B3C"/>
                <w:sz w:val="19"/>
                <w:szCs w:val="19"/>
              </w:rPr>
              <w:t>Dealer</w:t>
            </w:r>
          </w:p>
        </w:tc>
        <w:tc>
          <w:tcPr>
            <w:tcW w:w="356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49217B1F" w14:textId="77777777" w:rsidR="002E1024" w:rsidRDefault="00000000">
            <w:pPr>
              <w:spacing w:before="40" w:after="40"/>
            </w:pPr>
            <w:r>
              <w:rPr>
                <w:rFonts w:eastAsia="Arial"/>
                <w:sz w:val="19"/>
                <w:szCs w:val="19"/>
              </w:rPr>
              <w:t>Dealer self-authorises after counterparty screening clearance. Transaction logged and reviewed by CO in weekly spot-check.</w:t>
            </w:r>
          </w:p>
        </w:tc>
      </w:tr>
      <w:tr w:rsidR="002E1024" w14:paraId="27DB440E" w14:textId="77777777">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724A2282" w14:textId="77777777" w:rsidR="002E1024" w:rsidRDefault="00000000">
            <w:pPr>
              <w:spacing w:before="40" w:after="40"/>
            </w:pPr>
            <w:r>
              <w:rPr>
                <w:rFonts w:eastAsia="Arial"/>
                <w:b/>
                <w:bCs/>
                <w:color w:val="2E75B6"/>
                <w:sz w:val="19"/>
                <w:szCs w:val="19"/>
              </w:rPr>
              <w:t>Medium transactions (above threshold, ≤ upper limit)</w:t>
            </w:r>
          </w:p>
        </w:tc>
        <w:tc>
          <w:tcPr>
            <w:tcW w:w="26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211ADC53" w14:textId="77777777" w:rsidR="002E1024" w:rsidRDefault="00000000">
            <w:pPr>
              <w:spacing w:before="40" w:after="40"/>
              <w:jc w:val="center"/>
            </w:pPr>
            <w:r>
              <w:rPr>
                <w:rFonts w:eastAsia="Arial"/>
                <w:color w:val="2E75B6"/>
                <w:sz w:val="19"/>
                <w:szCs w:val="19"/>
              </w:rPr>
              <w:t>Compliance Officer</w:t>
            </w:r>
          </w:p>
        </w:tc>
        <w:tc>
          <w:tcPr>
            <w:tcW w:w="35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1E8322D0" w14:textId="77777777" w:rsidR="002E1024" w:rsidRDefault="00000000">
            <w:pPr>
              <w:spacing w:before="40" w:after="40"/>
            </w:pPr>
            <w:r>
              <w:rPr>
                <w:rFonts w:eastAsia="Arial"/>
                <w:sz w:val="19"/>
                <w:szCs w:val="19"/>
              </w:rPr>
              <w:t>CO reviews and approves the Trade Instruction Form before execution. Approval documented with name and timestamp.</w:t>
            </w:r>
          </w:p>
        </w:tc>
      </w:tr>
      <w:tr w:rsidR="002E1024" w14:paraId="42DC911B" w14:textId="77777777">
        <w:tc>
          <w:tcPr>
            <w:tcW w:w="3200" w:type="dxa"/>
            <w:tcBorders>
              <w:top w:val="single" w:sz="1" w:space="0" w:color="CCCCCC"/>
              <w:left w:val="single" w:sz="1" w:space="0" w:color="CCCCCC"/>
              <w:bottom w:val="single" w:sz="1" w:space="0" w:color="CCCCCC"/>
              <w:right w:val="single" w:sz="1" w:space="0" w:color="CCCCCC"/>
            </w:tcBorders>
            <w:shd w:val="clear" w:color="auto" w:fill="FEF3D0"/>
            <w:tcMar>
              <w:top w:w="80" w:type="dxa"/>
              <w:left w:w="120" w:type="dxa"/>
              <w:bottom w:w="80" w:type="dxa"/>
              <w:right w:w="120" w:type="dxa"/>
            </w:tcMar>
          </w:tcPr>
          <w:p w14:paraId="21CE934C" w14:textId="77777777" w:rsidR="002E1024" w:rsidRDefault="00000000">
            <w:pPr>
              <w:spacing w:before="40" w:after="40"/>
            </w:pPr>
            <w:r>
              <w:rPr>
                <w:rFonts w:eastAsia="Arial"/>
                <w:b/>
                <w:bCs/>
                <w:color w:val="7D4000"/>
                <w:sz w:val="19"/>
                <w:szCs w:val="19"/>
              </w:rPr>
              <w:t>Large transactions (above upper limit)</w:t>
            </w:r>
          </w:p>
        </w:tc>
        <w:tc>
          <w:tcPr>
            <w:tcW w:w="2600" w:type="dxa"/>
            <w:tcBorders>
              <w:top w:val="single" w:sz="1" w:space="0" w:color="CCCCCC"/>
              <w:left w:val="single" w:sz="1" w:space="0" w:color="CCCCCC"/>
              <w:bottom w:val="single" w:sz="1" w:space="0" w:color="CCCCCC"/>
              <w:right w:val="single" w:sz="1" w:space="0" w:color="CCCCCC"/>
            </w:tcBorders>
            <w:shd w:val="clear" w:color="auto" w:fill="FEF3D0"/>
            <w:tcMar>
              <w:top w:w="80" w:type="dxa"/>
              <w:left w:w="120" w:type="dxa"/>
              <w:bottom w:w="80" w:type="dxa"/>
              <w:right w:w="120" w:type="dxa"/>
            </w:tcMar>
          </w:tcPr>
          <w:p w14:paraId="0CF585A8" w14:textId="77777777" w:rsidR="002E1024" w:rsidRDefault="00000000">
            <w:pPr>
              <w:spacing w:before="40" w:after="40"/>
              <w:jc w:val="center"/>
            </w:pPr>
            <w:r>
              <w:rPr>
                <w:rFonts w:eastAsia="Arial"/>
                <w:color w:val="7D4000"/>
                <w:sz w:val="19"/>
                <w:szCs w:val="19"/>
              </w:rPr>
              <w:t>Director</w:t>
            </w:r>
          </w:p>
        </w:tc>
        <w:tc>
          <w:tcPr>
            <w:tcW w:w="3560" w:type="dxa"/>
            <w:tcBorders>
              <w:top w:val="single" w:sz="1" w:space="0" w:color="CCCCCC"/>
              <w:left w:val="single" w:sz="1" w:space="0" w:color="CCCCCC"/>
              <w:bottom w:val="single" w:sz="1" w:space="0" w:color="CCCCCC"/>
              <w:right w:val="single" w:sz="1" w:space="0" w:color="CCCCCC"/>
            </w:tcBorders>
            <w:shd w:val="clear" w:color="auto" w:fill="FEF3D0"/>
            <w:tcMar>
              <w:top w:w="80" w:type="dxa"/>
              <w:left w:w="120" w:type="dxa"/>
              <w:bottom w:w="80" w:type="dxa"/>
              <w:right w:w="120" w:type="dxa"/>
            </w:tcMar>
          </w:tcPr>
          <w:p w14:paraId="4215369A" w14:textId="77777777" w:rsidR="002E1024" w:rsidRDefault="00000000">
            <w:pPr>
              <w:spacing w:before="40" w:after="40"/>
            </w:pPr>
            <w:r>
              <w:rPr>
                <w:rFonts w:eastAsia="Arial"/>
                <w:sz w:val="19"/>
                <w:szCs w:val="19"/>
              </w:rPr>
              <w:t>CO endorses; Director provides final written approval. Approval documented on Trade Instruction Form.</w:t>
            </w:r>
          </w:p>
        </w:tc>
      </w:tr>
      <w:tr w:rsidR="002E1024" w14:paraId="7EDC0811" w14:textId="77777777">
        <w:tc>
          <w:tcPr>
            <w:tcW w:w="32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22B78683" w14:textId="77777777" w:rsidR="002E1024" w:rsidRDefault="00000000">
            <w:pPr>
              <w:spacing w:before="40" w:after="40"/>
            </w:pPr>
            <w:r>
              <w:rPr>
                <w:rFonts w:eastAsia="Arial"/>
                <w:b/>
                <w:bCs/>
                <w:color w:val="B22222"/>
                <w:sz w:val="19"/>
                <w:szCs w:val="19"/>
              </w:rPr>
              <w:t>Any transaction — MEDIUM or HIGH risk client</w:t>
            </w:r>
          </w:p>
        </w:tc>
        <w:tc>
          <w:tcPr>
            <w:tcW w:w="26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75B010ED" w14:textId="77777777" w:rsidR="002E1024" w:rsidRDefault="00000000">
            <w:pPr>
              <w:spacing w:before="40" w:after="40"/>
              <w:jc w:val="center"/>
            </w:pPr>
            <w:r>
              <w:rPr>
                <w:rFonts w:eastAsia="Arial"/>
                <w:color w:val="B22222"/>
                <w:sz w:val="19"/>
                <w:szCs w:val="19"/>
              </w:rPr>
              <w:t>Compliance Officer (all amounts)</w:t>
            </w:r>
          </w:p>
        </w:tc>
        <w:tc>
          <w:tcPr>
            <w:tcW w:w="356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20" w:type="dxa"/>
            </w:tcMar>
          </w:tcPr>
          <w:p w14:paraId="7E863CEB" w14:textId="77777777" w:rsidR="002E1024" w:rsidRDefault="00000000">
            <w:pPr>
              <w:spacing w:before="40" w:after="40"/>
            </w:pPr>
            <w:r>
              <w:rPr>
                <w:rFonts w:eastAsia="Arial"/>
                <w:sz w:val="19"/>
                <w:szCs w:val="19"/>
              </w:rPr>
              <w:t>CO approval required for every transaction regardless of size. Additional EDD documentation maintained on file.</w:t>
            </w:r>
          </w:p>
        </w:tc>
      </w:tr>
    </w:tbl>
    <w:p w14:paraId="5A2E6863" w14:textId="77777777" w:rsidR="002E1024" w:rsidRDefault="002E1024">
      <w:pPr>
        <w:spacing w:before="40" w:after="40"/>
      </w:pPr>
    </w:p>
    <w:p w14:paraId="416793AD" w14:textId="7A364615" w:rsidR="002E1024" w:rsidRDefault="00000000">
      <w:pPr>
        <w:spacing w:before="60" w:after="60"/>
      </w:pPr>
      <w:r>
        <w:rPr>
          <w:rFonts w:eastAsia="Arial"/>
          <w:i/>
          <w:iCs/>
          <w:color w:val="555555"/>
        </w:rPr>
        <w:t>Counterparty wallet addresses and bank beneficiaries are screened against sanctions lists via ComplyAdvantage before each transaction is processed.</w:t>
      </w:r>
    </w:p>
    <w:p w14:paraId="3D993B66" w14:textId="77777777" w:rsidR="002E1024" w:rsidRDefault="002E1024">
      <w:pPr>
        <w:spacing w:before="40" w:after="40"/>
      </w:pPr>
    </w:p>
    <w:p w14:paraId="3A8892F2" w14:textId="77777777" w:rsidR="002E1024" w:rsidRDefault="00000000">
      <w:pPr>
        <w:pStyle w:val="1"/>
        <w:pBdr>
          <w:bottom w:val="single" w:sz="5" w:space="3" w:color="2E75B6"/>
        </w:pBdr>
      </w:pPr>
      <w:r>
        <w:t>5.  Technology &amp; Data Security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E1024" w14:paraId="56BE5FE9" w14:textId="77777777">
        <w:tc>
          <w:tcPr>
            <w:tcW w:w="2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247A0E0E" w14:textId="77777777" w:rsidR="002E1024" w:rsidRDefault="00000000">
            <w:pPr>
              <w:spacing w:before="40" w:after="40"/>
              <w:jc w:val="center"/>
            </w:pPr>
            <w:r>
              <w:rPr>
                <w:rFonts w:eastAsia="Arial"/>
                <w:b/>
                <w:bCs/>
                <w:color w:val="FFFFFF"/>
                <w:sz w:val="19"/>
                <w:szCs w:val="19"/>
              </w:rPr>
              <w:t>Area</w:t>
            </w:r>
          </w:p>
        </w:tc>
        <w:tc>
          <w:tcPr>
            <w:tcW w:w="65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7979F524" w14:textId="77777777" w:rsidR="002E1024" w:rsidRDefault="00000000">
            <w:pPr>
              <w:spacing w:before="40" w:after="40"/>
              <w:jc w:val="center"/>
            </w:pPr>
            <w:r>
              <w:rPr>
                <w:rFonts w:eastAsia="Arial"/>
                <w:b/>
                <w:bCs/>
                <w:color w:val="FFFFFF"/>
                <w:sz w:val="19"/>
                <w:szCs w:val="19"/>
              </w:rPr>
              <w:t>Controls in Place</w:t>
            </w:r>
          </w:p>
        </w:tc>
      </w:tr>
      <w:tr w:rsidR="002E1024" w14:paraId="5CCED9C5"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607254D2" w14:textId="77777777" w:rsidR="002E1024" w:rsidRDefault="00000000">
            <w:pPr>
              <w:spacing w:before="40" w:after="40"/>
            </w:pPr>
            <w:r>
              <w:rPr>
                <w:rFonts w:eastAsia="Arial"/>
                <w:b/>
                <w:bCs/>
                <w:color w:val="1F3864"/>
                <w:sz w:val="19"/>
                <w:szCs w:val="19"/>
              </w:rPr>
              <w:t>Sanctions Screening Platform</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1D2CDAB3" w14:textId="0D06F12E" w:rsidR="002E1024" w:rsidRDefault="00000000">
            <w:pPr>
              <w:spacing w:before="40" w:after="40"/>
            </w:pPr>
            <w:r>
              <w:rPr>
                <w:rFonts w:eastAsia="Arial"/>
                <w:sz w:val="19"/>
                <w:szCs w:val="19"/>
              </w:rPr>
              <w:t>ComplyAdvantage — covering DFAT, OFAC, UN, EU, HMT, global PEP databases, and adverse media. Updated daily minimum. Platform outputs are downloaded and retained by ELRC independently of the platform.</w:t>
            </w:r>
          </w:p>
        </w:tc>
      </w:tr>
      <w:tr w:rsidR="002E1024" w14:paraId="7D09B825"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85451E" w14:textId="77777777" w:rsidR="002E1024" w:rsidRDefault="00000000">
            <w:pPr>
              <w:spacing w:before="40" w:after="40"/>
            </w:pPr>
            <w:r>
              <w:rPr>
                <w:rFonts w:eastAsia="Arial"/>
                <w:b/>
                <w:bCs/>
                <w:color w:val="1F3864"/>
                <w:sz w:val="19"/>
                <w:szCs w:val="19"/>
              </w:rPr>
              <w:t>Access Controls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B94E9D" w14:textId="77777777" w:rsidR="002E1024" w:rsidRDefault="00000000">
            <w:pPr>
              <w:spacing w:before="40" w:after="40"/>
            </w:pPr>
            <w:r>
              <w:rPr>
                <w:rFonts w:eastAsia="Arial"/>
                <w:sz w:val="19"/>
                <w:szCs w:val="19"/>
              </w:rPr>
              <w:t>All compliance-critical systems require multi-factor authentication (MFA). Access is provisioned on a least-privilege basis and revoked within 4 hours of staff departure.</w:t>
            </w:r>
          </w:p>
        </w:tc>
      </w:tr>
      <w:tr w:rsidR="002E1024" w14:paraId="50F1015E"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78EA5ED8" w14:textId="77777777" w:rsidR="002E1024" w:rsidRDefault="00000000">
            <w:pPr>
              <w:spacing w:before="40" w:after="40"/>
            </w:pPr>
            <w:r>
              <w:rPr>
                <w:rFonts w:eastAsia="Arial"/>
                <w:b/>
                <w:bCs/>
                <w:color w:val="1F3864"/>
                <w:sz w:val="19"/>
                <w:szCs w:val="19"/>
              </w:rPr>
              <w:t>Data Encryption</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52458AF7" w14:textId="77777777" w:rsidR="002E1024" w:rsidRDefault="00000000">
            <w:pPr>
              <w:spacing w:before="40" w:after="40"/>
            </w:pPr>
            <w:r>
              <w:rPr>
                <w:rFonts w:eastAsia="Arial"/>
                <w:sz w:val="19"/>
                <w:szCs w:val="19"/>
              </w:rPr>
              <w:t>All client data and compliance records are encrypted at rest (AES-256) and in transit (TLS 1.2+). Email transmission of confidential information requires encrypted channels.</w:t>
            </w:r>
          </w:p>
        </w:tc>
      </w:tr>
      <w:tr w:rsidR="002E1024" w14:paraId="7F09CE51"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CE529B" w14:textId="77777777" w:rsidR="002E1024" w:rsidRDefault="00000000">
            <w:pPr>
              <w:spacing w:before="40" w:after="40"/>
            </w:pPr>
            <w:r>
              <w:rPr>
                <w:rFonts w:eastAsia="Arial"/>
                <w:b/>
                <w:bCs/>
                <w:color w:val="1F3864"/>
                <w:sz w:val="19"/>
                <w:szCs w:val="19"/>
              </w:rPr>
              <w:t>Data Residency</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43EDE2" w14:textId="77777777" w:rsidR="002E1024" w:rsidRDefault="00000000">
            <w:pPr>
              <w:spacing w:before="40" w:after="40"/>
            </w:pPr>
            <w:r>
              <w:rPr>
                <w:rFonts w:eastAsia="Arial"/>
                <w:sz w:val="19"/>
                <w:szCs w:val="19"/>
              </w:rPr>
              <w:t>Client data is hosted in Australia or jurisdictions with equivalent data protection standards under the Privacy Act 1988 (Cth) and Australian Privacy Principles (APPs).</w:t>
            </w:r>
          </w:p>
        </w:tc>
      </w:tr>
      <w:tr w:rsidR="002E1024" w14:paraId="0BD18116"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363CE3C0" w14:textId="77777777" w:rsidR="002E1024" w:rsidRDefault="00000000">
            <w:pPr>
              <w:spacing w:before="40" w:after="40"/>
            </w:pPr>
            <w:r>
              <w:rPr>
                <w:rFonts w:eastAsia="Arial"/>
                <w:b/>
                <w:bCs/>
                <w:color w:val="1F3864"/>
                <w:sz w:val="19"/>
                <w:szCs w:val="19"/>
              </w:rPr>
              <w:t>Record Retention</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58FA0CFF" w14:textId="77777777" w:rsidR="002E1024" w:rsidRDefault="00000000">
            <w:pPr>
              <w:spacing w:before="40" w:after="40"/>
            </w:pPr>
            <w:r>
              <w:rPr>
                <w:rFonts w:eastAsia="Arial"/>
                <w:sz w:val="19"/>
                <w:szCs w:val="19"/>
              </w:rPr>
              <w:t>All AML/CTF compliance records are retained for 7 years. ELRC maintains its own copies independently and does not rely solely on third-party platform records.</w:t>
            </w:r>
          </w:p>
        </w:tc>
      </w:tr>
      <w:tr w:rsidR="002E1024" w14:paraId="598BD1BE"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51D26D" w14:textId="77777777" w:rsidR="002E1024" w:rsidRDefault="00000000">
            <w:pPr>
              <w:spacing w:before="40" w:after="40"/>
            </w:pPr>
            <w:r>
              <w:rPr>
                <w:rFonts w:eastAsia="Arial"/>
                <w:b/>
                <w:bCs/>
                <w:color w:val="1F3864"/>
                <w:sz w:val="19"/>
                <w:szCs w:val="19"/>
              </w:rPr>
              <w:t>Incident Response</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028A99" w14:textId="77777777" w:rsidR="002E1024" w:rsidRDefault="00000000">
            <w:pPr>
              <w:spacing w:before="40" w:after="40"/>
            </w:pPr>
            <w:r>
              <w:rPr>
                <w:rFonts w:eastAsia="Arial"/>
                <w:sz w:val="19"/>
                <w:szCs w:val="19"/>
              </w:rPr>
              <w:t xml:space="preserve">ELRC maintains a documented incident response plan. Data breaches affecting personal information are notifiable to the OAIC under the Notifiable Data Breaches (NDB) scheme. Cybersecurity incidents affecting </w:t>
            </w:r>
            <w:r>
              <w:rPr>
                <w:rFonts w:eastAsia="Arial"/>
                <w:sz w:val="19"/>
                <w:szCs w:val="19"/>
              </w:rPr>
              <w:lastRenderedPageBreak/>
              <w:t>AUSTRAC reporting capability are reported to AUSTRAC.</w:t>
            </w:r>
          </w:p>
        </w:tc>
      </w:tr>
    </w:tbl>
    <w:p w14:paraId="63FA4EC6" w14:textId="77777777" w:rsidR="002E1024" w:rsidRDefault="002E1024">
      <w:pPr>
        <w:spacing w:before="40" w:after="40"/>
      </w:pPr>
    </w:p>
    <w:p w14:paraId="14ACE4B0" w14:textId="77777777" w:rsidR="002E1024" w:rsidRDefault="00000000">
      <w:pPr>
        <w:pStyle w:val="1"/>
        <w:pBdr>
          <w:bottom w:val="single" w:sz="5" w:space="3" w:color="2E75B6"/>
        </w:pBdr>
      </w:pPr>
      <w:r>
        <w:t>6.  Regulatory Standing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E1024" w14:paraId="3117B694" w14:textId="77777777">
        <w:tc>
          <w:tcPr>
            <w:tcW w:w="2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47CDF6D9" w14:textId="77777777" w:rsidR="002E1024" w:rsidRDefault="00000000">
            <w:pPr>
              <w:spacing w:before="40" w:after="40"/>
              <w:jc w:val="center"/>
            </w:pPr>
            <w:r>
              <w:rPr>
                <w:rFonts w:eastAsia="Arial"/>
                <w:b/>
                <w:bCs/>
                <w:color w:val="FFFFFF"/>
                <w:sz w:val="19"/>
                <w:szCs w:val="19"/>
              </w:rPr>
              <w:t>Item</w:t>
            </w:r>
          </w:p>
        </w:tc>
        <w:tc>
          <w:tcPr>
            <w:tcW w:w="65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4383C48A" w14:textId="77777777" w:rsidR="002E1024" w:rsidRDefault="00000000">
            <w:pPr>
              <w:spacing w:before="40" w:after="40"/>
              <w:jc w:val="center"/>
            </w:pPr>
            <w:r>
              <w:rPr>
                <w:rFonts w:eastAsia="Arial"/>
                <w:b/>
                <w:bCs/>
                <w:color w:val="FFFFFF"/>
                <w:sz w:val="19"/>
                <w:szCs w:val="19"/>
              </w:rPr>
              <w:t>Status</w:t>
            </w:r>
          </w:p>
        </w:tc>
      </w:tr>
      <w:tr w:rsidR="002E1024" w14:paraId="0342E0F1"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75C41A70" w14:textId="77777777" w:rsidR="002E1024" w:rsidRDefault="00000000">
            <w:pPr>
              <w:spacing w:before="40" w:after="40"/>
            </w:pPr>
            <w:r>
              <w:rPr>
                <w:rFonts w:eastAsia="Arial"/>
                <w:b/>
                <w:bCs/>
                <w:color w:val="1F3864"/>
                <w:sz w:val="19"/>
                <w:szCs w:val="19"/>
              </w:rPr>
              <w:t>AUSTRAC Registration Status</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7F37303F" w14:textId="77777777" w:rsidR="002E1024" w:rsidRDefault="00000000">
            <w:pPr>
              <w:spacing w:before="40" w:after="40"/>
            </w:pPr>
            <w:r>
              <w:rPr>
                <w:rFonts w:eastAsia="Arial"/>
                <w:b/>
                <w:bCs/>
                <w:color w:val="1E6B3C"/>
                <w:sz w:val="19"/>
                <w:szCs w:val="19"/>
              </w:rPr>
              <w:t>Active — registered reporting entity in good standing as at the date of this document</w:t>
            </w:r>
          </w:p>
        </w:tc>
      </w:tr>
      <w:tr w:rsidR="002E1024" w:rsidRPr="009B3C44" w14:paraId="27F8798A"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BC415D" w14:textId="77777777" w:rsidR="002E1024" w:rsidRDefault="00000000">
            <w:pPr>
              <w:spacing w:before="40" w:after="40"/>
            </w:pPr>
            <w:r>
              <w:rPr>
                <w:rFonts w:eastAsia="Arial"/>
                <w:b/>
                <w:bCs/>
                <w:color w:val="1F3864"/>
                <w:sz w:val="19"/>
                <w:szCs w:val="19"/>
              </w:rPr>
              <w:t>Enforcement Actions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244F06" w14:textId="28982D64" w:rsidR="002E1024" w:rsidRDefault="00000000">
            <w:pPr>
              <w:spacing w:before="40" w:after="40"/>
            </w:pPr>
            <w:r>
              <w:rPr>
                <w:rFonts w:eastAsia="Arial"/>
                <w:sz w:val="19"/>
                <w:szCs w:val="19"/>
              </w:rPr>
              <w:t>ELRC has not been subject to any AUSTRAC enforcement action, enforceable undertaking, civil penalty, or criminal prosecution</w:t>
            </w:r>
          </w:p>
        </w:tc>
      </w:tr>
      <w:tr w:rsidR="002E1024" w14:paraId="5FF1A457"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025B6D3E" w14:textId="77777777" w:rsidR="002E1024" w:rsidRDefault="00000000">
            <w:pPr>
              <w:spacing w:before="40" w:after="40"/>
            </w:pPr>
            <w:r>
              <w:rPr>
                <w:rFonts w:eastAsia="Arial"/>
                <w:b/>
                <w:bCs/>
                <w:color w:val="1F3864"/>
                <w:sz w:val="19"/>
                <w:szCs w:val="19"/>
              </w:rPr>
              <w:t>Annual Compliance Report</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087A894B" w14:textId="0FA93249" w:rsidR="002E1024" w:rsidRDefault="00000000">
            <w:pPr>
              <w:spacing w:before="40" w:after="40"/>
            </w:pPr>
            <w:r>
              <w:rPr>
                <w:rFonts w:eastAsia="Arial"/>
                <w:sz w:val="19"/>
                <w:szCs w:val="19"/>
              </w:rPr>
              <w:t>Filed for [</w:t>
            </w:r>
            <w:r w:rsidR="009B3C44">
              <w:rPr>
                <w:rFonts w:eastAsia="Arial"/>
                <w:sz w:val="19"/>
                <w:szCs w:val="19"/>
              </w:rPr>
              <w:t>2026</w:t>
            </w:r>
            <w:r>
              <w:rPr>
                <w:rFonts w:eastAsia="Arial"/>
                <w:sz w:val="19"/>
                <w:szCs w:val="19"/>
              </w:rPr>
              <w:t>] compliance period — [</w:t>
            </w:r>
            <w:r w:rsidR="009B3C44">
              <w:rPr>
                <w:rFonts w:eastAsia="Arial"/>
                <w:sz w:val="19"/>
                <w:szCs w:val="19"/>
              </w:rPr>
              <w:t>30/06/2026</w:t>
            </w:r>
            <w:r>
              <w:rPr>
                <w:rFonts w:eastAsia="Arial"/>
                <w:sz w:val="19"/>
                <w:szCs w:val="19"/>
              </w:rPr>
              <w:t>]</w:t>
            </w:r>
          </w:p>
        </w:tc>
      </w:tr>
      <w:tr w:rsidR="002E1024" w14:paraId="32D7BC6B"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3A80E0" w14:textId="77777777" w:rsidR="002E1024" w:rsidRDefault="00000000">
            <w:pPr>
              <w:spacing w:before="40" w:after="40"/>
            </w:pPr>
            <w:r>
              <w:rPr>
                <w:rFonts w:eastAsia="Arial"/>
                <w:b/>
                <w:bCs/>
                <w:color w:val="1F3864"/>
                <w:sz w:val="19"/>
                <w:szCs w:val="19"/>
              </w:rPr>
              <w:t>AML/CTF Program</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6EF5C7" w14:textId="6104C0C3" w:rsidR="002E1024" w:rsidRDefault="00000000">
            <w:pPr>
              <w:spacing w:before="40" w:after="40"/>
            </w:pPr>
            <w:r>
              <w:rPr>
                <w:rFonts w:eastAsia="Arial"/>
                <w:sz w:val="19"/>
                <w:szCs w:val="19"/>
              </w:rPr>
              <w:t>Written program in place; last reviewed [</w:t>
            </w:r>
            <w:r w:rsidR="009B3C44">
              <w:rPr>
                <w:rFonts w:eastAsia="Arial"/>
                <w:sz w:val="19"/>
                <w:szCs w:val="19"/>
              </w:rPr>
              <w:t>01/02/2026</w:t>
            </w:r>
            <w:r>
              <w:rPr>
                <w:rFonts w:eastAsia="Arial"/>
                <w:sz w:val="19"/>
                <w:szCs w:val="19"/>
              </w:rPr>
              <w:t>]</w:t>
            </w:r>
          </w:p>
        </w:tc>
      </w:tr>
    </w:tbl>
    <w:p w14:paraId="196428A5" w14:textId="77777777" w:rsidR="002E1024" w:rsidRDefault="002E102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E1024" w14:paraId="3F7C16A1" w14:textId="77777777">
        <w:tc>
          <w:tcPr>
            <w:tcW w:w="9360" w:type="dxa"/>
            <w:tcBorders>
              <w:top w:val="single" w:sz="1" w:space="0" w:color="AAAAAA"/>
              <w:left w:val="single" w:sz="1" w:space="0" w:color="AAAAAA"/>
              <w:bottom w:val="single" w:sz="1" w:space="0" w:color="AAAAAA"/>
              <w:right w:val="single" w:sz="1" w:space="0" w:color="AAAAAA"/>
            </w:tcBorders>
            <w:shd w:val="clear" w:color="auto" w:fill="F4F6F6"/>
            <w:tcMar>
              <w:top w:w="100" w:type="dxa"/>
              <w:left w:w="200" w:type="dxa"/>
              <w:bottom w:w="100" w:type="dxa"/>
              <w:right w:w="200" w:type="dxa"/>
            </w:tcMar>
          </w:tcPr>
          <w:p w14:paraId="3277F844" w14:textId="77777777" w:rsidR="002E1024" w:rsidRDefault="00000000">
            <w:pPr>
              <w:spacing w:before="36" w:after="36"/>
            </w:pPr>
            <w:r>
              <w:rPr>
                <w:rFonts w:eastAsia="Arial"/>
                <w:i/>
                <w:iCs/>
                <w:color w:val="555555"/>
                <w:sz w:val="19"/>
                <w:szCs w:val="19"/>
              </w:rPr>
              <w:t>For full regulatory compliance details, refer to ELRC's Regulatory Compliance Status Declaration (ELRC-RCD-001), available on request. For financial standing information, ELRC will provide certified financial statements or a banking letter of standing upon execution of an NDA.</w:t>
            </w:r>
          </w:p>
        </w:tc>
      </w:tr>
    </w:tbl>
    <w:p w14:paraId="167CF4BC" w14:textId="77777777" w:rsidR="002E1024" w:rsidRDefault="002E1024">
      <w:pPr>
        <w:spacing w:before="40" w:after="40"/>
      </w:pPr>
    </w:p>
    <w:p w14:paraId="52C58665" w14:textId="77777777" w:rsidR="002E1024" w:rsidRDefault="00000000">
      <w:pPr>
        <w:pStyle w:val="1"/>
        <w:pBdr>
          <w:bottom w:val="single" w:sz="5" w:space="3" w:color="2E75B6"/>
        </w:pBdr>
      </w:pPr>
      <w:r>
        <w:t>7.  Declaration</w:t>
      </w:r>
    </w:p>
    <w:p w14:paraId="7EC1B012" w14:textId="77777777" w:rsidR="002E1024" w:rsidRDefault="00000000">
      <w:pPr>
        <w:spacing w:before="60" w:after="60"/>
      </w:pPr>
      <w:r>
        <w:rPr>
          <w:rFonts w:eastAsia="Arial"/>
        </w:rPr>
        <w:t>The undersigned Compliance Officer of ELRC TRADING Pty Ltd confirms that the information contained in this document is accurate and complete to the best of their knowledge as at the date stated below. ELRC agrees to notify the counterparty of any material change to this information, including any change in regulatory status, team structure, or enforcement history.</w:t>
      </w:r>
    </w:p>
    <w:p w14:paraId="678CAB82" w14:textId="77777777" w:rsidR="002E1024" w:rsidRDefault="002E1024">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E1024" w14:paraId="3335BBDF" w14:textId="77777777">
        <w:tc>
          <w:tcPr>
            <w:tcW w:w="4680" w:type="dxa"/>
            <w:tcBorders>
              <w:top w:val="single" w:sz="1" w:space="0" w:color="CCCCCC"/>
              <w:left w:val="single" w:sz="1" w:space="0" w:color="CCCCCC"/>
              <w:bottom w:val="single" w:sz="1" w:space="0" w:color="CCCCCC"/>
              <w:right w:val="single" w:sz="1" w:space="0" w:color="CCCCCC"/>
            </w:tcBorders>
            <w:shd w:val="clear" w:color="auto" w:fill="EBF3FB"/>
            <w:tcMar>
              <w:top w:w="120" w:type="dxa"/>
              <w:left w:w="160" w:type="dxa"/>
              <w:bottom w:w="120" w:type="dxa"/>
              <w:right w:w="160" w:type="dxa"/>
            </w:tcMar>
          </w:tcPr>
          <w:p w14:paraId="1A9C7591" w14:textId="77777777" w:rsidR="002E1024" w:rsidRDefault="00000000">
            <w:pPr>
              <w:spacing w:before="40" w:after="60"/>
            </w:pPr>
            <w:r>
              <w:rPr>
                <w:rFonts w:eastAsia="Arial"/>
                <w:b/>
                <w:bCs/>
                <w:color w:val="1F3864"/>
              </w:rPr>
              <w:t>Compliance Officer</w:t>
            </w:r>
          </w:p>
          <w:p w14:paraId="7F56FF42" w14:textId="67641774" w:rsidR="002E1024" w:rsidRDefault="00000000">
            <w:pPr>
              <w:spacing w:before="40" w:after="40"/>
            </w:pPr>
            <w:r>
              <w:rPr>
                <w:rFonts w:eastAsia="Arial"/>
                <w:sz w:val="19"/>
                <w:szCs w:val="19"/>
              </w:rPr>
              <w:t>Name: ____</w:t>
            </w:r>
            <w:proofErr w:type="spellStart"/>
            <w:r w:rsidR="009B3C44">
              <w:rPr>
                <w:rFonts w:eastAsia="Arial"/>
                <w:sz w:val="19"/>
                <w:szCs w:val="19"/>
              </w:rPr>
              <w:t>Ziqian</w:t>
            </w:r>
            <w:proofErr w:type="spellEnd"/>
            <w:r w:rsidR="009B3C44">
              <w:rPr>
                <w:rFonts w:eastAsia="Arial"/>
                <w:sz w:val="19"/>
                <w:szCs w:val="19"/>
              </w:rPr>
              <w:t xml:space="preserve"> Tan</w:t>
            </w:r>
            <w:r>
              <w:rPr>
                <w:rFonts w:eastAsia="Arial"/>
                <w:sz w:val="19"/>
                <w:szCs w:val="19"/>
              </w:rPr>
              <w:t>___________</w:t>
            </w:r>
          </w:p>
          <w:p w14:paraId="478B8109" w14:textId="77777777" w:rsidR="002E1024" w:rsidRDefault="00000000">
            <w:pPr>
              <w:spacing w:before="40" w:after="40"/>
            </w:pPr>
            <w:r>
              <w:rPr>
                <w:rFonts w:eastAsia="Arial"/>
                <w:sz w:val="19"/>
                <w:szCs w:val="19"/>
              </w:rPr>
              <w:t>Signature: ______________________</w:t>
            </w:r>
          </w:p>
          <w:p w14:paraId="4DE20C10" w14:textId="77777777" w:rsidR="002E1024" w:rsidRDefault="00000000">
            <w:pPr>
              <w:spacing w:before="40" w:after="40"/>
            </w:pPr>
            <w:r>
              <w:rPr>
                <w:rFonts w:eastAsia="Arial"/>
                <w:sz w:val="19"/>
                <w:szCs w:val="19"/>
              </w:rPr>
              <w:t>Date: ___________________________</w:t>
            </w:r>
          </w:p>
        </w:tc>
        <w:tc>
          <w:tcPr>
            <w:tcW w:w="4680" w:type="dxa"/>
            <w:tcBorders>
              <w:top w:val="single" w:sz="1" w:space="0" w:color="CCCCCC"/>
              <w:left w:val="single" w:sz="1" w:space="0" w:color="CCCCCC"/>
              <w:bottom w:val="single" w:sz="1" w:space="0" w:color="CCCCCC"/>
              <w:right w:val="single" w:sz="1" w:space="0" w:color="CCCCCC"/>
            </w:tcBorders>
            <w:shd w:val="clear" w:color="auto" w:fill="EBF3FB"/>
            <w:tcMar>
              <w:top w:w="120" w:type="dxa"/>
              <w:left w:w="160" w:type="dxa"/>
              <w:bottom w:w="120" w:type="dxa"/>
              <w:right w:w="160" w:type="dxa"/>
            </w:tcMar>
          </w:tcPr>
          <w:p w14:paraId="73F59AD3" w14:textId="77777777" w:rsidR="002E1024" w:rsidRDefault="00000000">
            <w:pPr>
              <w:spacing w:before="40" w:after="60"/>
            </w:pPr>
            <w:r>
              <w:rPr>
                <w:rFonts w:eastAsia="Arial"/>
                <w:b/>
                <w:bCs/>
                <w:color w:val="1F3864"/>
              </w:rPr>
              <w:t>Director</w:t>
            </w:r>
          </w:p>
          <w:p w14:paraId="304188C4" w14:textId="5EA08A5E" w:rsidR="002E1024" w:rsidRDefault="00000000">
            <w:pPr>
              <w:spacing w:before="40" w:after="40"/>
            </w:pPr>
            <w:r>
              <w:rPr>
                <w:rFonts w:eastAsia="Arial"/>
                <w:sz w:val="19"/>
                <w:szCs w:val="19"/>
              </w:rPr>
              <w:t>Name: ____</w:t>
            </w:r>
            <w:r w:rsidR="009B3C44">
              <w:rPr>
                <w:rFonts w:eastAsia="Arial"/>
                <w:sz w:val="19"/>
                <w:szCs w:val="19"/>
              </w:rPr>
              <w:t xml:space="preserve">Hao Chen </w:t>
            </w:r>
            <w:r>
              <w:rPr>
                <w:rFonts w:eastAsia="Arial"/>
                <w:sz w:val="19"/>
                <w:szCs w:val="19"/>
              </w:rPr>
              <w:t>_____________</w:t>
            </w:r>
          </w:p>
          <w:p w14:paraId="5D288145" w14:textId="77777777" w:rsidR="002E1024" w:rsidRDefault="00000000">
            <w:pPr>
              <w:spacing w:before="40" w:after="40"/>
            </w:pPr>
            <w:r>
              <w:rPr>
                <w:rFonts w:eastAsia="Arial"/>
                <w:sz w:val="19"/>
                <w:szCs w:val="19"/>
              </w:rPr>
              <w:t>Signature: ______________________</w:t>
            </w:r>
          </w:p>
          <w:p w14:paraId="75F42B80" w14:textId="77777777" w:rsidR="002E1024" w:rsidRDefault="00000000">
            <w:pPr>
              <w:spacing w:before="40" w:after="40"/>
            </w:pPr>
            <w:r>
              <w:rPr>
                <w:rFonts w:eastAsia="Arial"/>
                <w:sz w:val="19"/>
                <w:szCs w:val="19"/>
              </w:rPr>
              <w:t>Date: ___________________________</w:t>
            </w:r>
          </w:p>
        </w:tc>
      </w:tr>
    </w:tbl>
    <w:p w14:paraId="2F7522EB" w14:textId="77777777" w:rsidR="002E1024" w:rsidRDefault="002E1024">
      <w:pPr>
        <w:spacing w:before="40" w:after="40"/>
      </w:pPr>
    </w:p>
    <w:p w14:paraId="3BC96118" w14:textId="77777777" w:rsidR="002E1024" w:rsidRDefault="00000000">
      <w:pPr>
        <w:pStyle w:val="1"/>
        <w:pBdr>
          <w:bottom w:val="single" w:sz="5" w:space="3" w:color="2E75B6"/>
        </w:pBdr>
      </w:pPr>
      <w:r>
        <w:t>8.  Document Control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200"/>
        <w:gridCol w:w="2200"/>
        <w:gridCol w:w="3360"/>
      </w:tblGrid>
      <w:tr w:rsidR="002E1024" w14:paraId="085695A2" w14:textId="77777777">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379EB9C0" w14:textId="77777777" w:rsidR="002E1024" w:rsidRDefault="00000000">
            <w:pPr>
              <w:spacing w:before="40" w:after="40"/>
              <w:jc w:val="center"/>
            </w:pPr>
            <w:r>
              <w:rPr>
                <w:rFonts w:eastAsia="Arial"/>
                <w:b/>
                <w:bCs/>
                <w:color w:val="FFFFFF"/>
                <w:sz w:val="19"/>
                <w:szCs w:val="19"/>
              </w:rPr>
              <w:t>Version</w:t>
            </w:r>
          </w:p>
        </w:tc>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5F48C108" w14:textId="77777777" w:rsidR="002E1024" w:rsidRDefault="00000000">
            <w:pPr>
              <w:spacing w:before="40" w:after="40"/>
              <w:jc w:val="center"/>
            </w:pPr>
            <w:r>
              <w:rPr>
                <w:rFonts w:eastAsia="Arial"/>
                <w:b/>
                <w:bCs/>
                <w:color w:val="FFFFFF"/>
                <w:sz w:val="19"/>
                <w:szCs w:val="19"/>
              </w:rPr>
              <w:t>Date</w:t>
            </w:r>
          </w:p>
        </w:tc>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05223849" w14:textId="77777777" w:rsidR="002E1024" w:rsidRDefault="00000000">
            <w:pPr>
              <w:spacing w:before="40" w:after="40"/>
              <w:jc w:val="center"/>
            </w:pPr>
            <w:r>
              <w:rPr>
                <w:rFonts w:eastAsia="Arial"/>
                <w:b/>
                <w:bCs/>
                <w:color w:val="FFFFFF"/>
                <w:sz w:val="19"/>
                <w:szCs w:val="19"/>
              </w:rPr>
              <w:t>Approved By</w:t>
            </w:r>
          </w:p>
        </w:tc>
        <w:tc>
          <w:tcPr>
            <w:tcW w:w="33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40" w:type="dxa"/>
              <w:bottom w:w="80" w:type="dxa"/>
              <w:right w:w="140" w:type="dxa"/>
            </w:tcMar>
            <w:vAlign w:val="center"/>
          </w:tcPr>
          <w:p w14:paraId="0CD5FCF9" w14:textId="77777777" w:rsidR="002E1024" w:rsidRDefault="00000000">
            <w:pPr>
              <w:spacing w:before="40" w:after="40"/>
              <w:jc w:val="center"/>
            </w:pPr>
            <w:r>
              <w:rPr>
                <w:rFonts w:eastAsia="Arial"/>
                <w:b/>
                <w:bCs/>
                <w:color w:val="FFFFFF"/>
                <w:sz w:val="19"/>
                <w:szCs w:val="19"/>
              </w:rPr>
              <w:t>Notes</w:t>
            </w:r>
          </w:p>
        </w:tc>
      </w:tr>
      <w:tr w:rsidR="002E1024" w14:paraId="1747000D" w14:textId="77777777">
        <w:tc>
          <w:tcPr>
            <w:tcW w:w="16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7CB70BAA" w14:textId="77777777" w:rsidR="002E1024" w:rsidRDefault="00000000">
            <w:pPr>
              <w:spacing w:before="40" w:after="40"/>
              <w:jc w:val="center"/>
            </w:pPr>
            <w:r>
              <w:rPr>
                <w:rFonts w:eastAsia="Arial"/>
                <w:b/>
                <w:bCs/>
                <w:color w:val="1F3864"/>
                <w:sz w:val="19"/>
                <w:szCs w:val="19"/>
              </w:rPr>
              <w:t>1.0</w:t>
            </w:r>
          </w:p>
        </w:tc>
        <w:tc>
          <w:tcPr>
            <w:tcW w:w="2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15477238" w14:textId="246781BA" w:rsidR="002E1024" w:rsidRDefault="00000000">
            <w:pPr>
              <w:spacing w:before="40" w:after="40"/>
              <w:jc w:val="center"/>
            </w:pPr>
            <w:r>
              <w:rPr>
                <w:rFonts w:eastAsia="Arial"/>
                <w:sz w:val="19"/>
                <w:szCs w:val="19"/>
              </w:rPr>
              <w:t>[</w:t>
            </w:r>
            <w:r w:rsidR="009B3C44">
              <w:rPr>
                <w:rFonts w:eastAsia="Arial"/>
                <w:sz w:val="19"/>
                <w:szCs w:val="19"/>
              </w:rPr>
              <w:t>01/02/2026</w:t>
            </w:r>
            <w:r>
              <w:rPr>
                <w:rFonts w:eastAsia="Arial"/>
                <w:sz w:val="19"/>
                <w:szCs w:val="19"/>
              </w:rPr>
              <w:t>]</w:t>
            </w:r>
          </w:p>
        </w:tc>
        <w:tc>
          <w:tcPr>
            <w:tcW w:w="220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70F592C0" w14:textId="77777777" w:rsidR="002E1024" w:rsidRDefault="00000000">
            <w:pPr>
              <w:spacing w:before="40" w:after="40"/>
              <w:jc w:val="center"/>
            </w:pPr>
            <w:r>
              <w:rPr>
                <w:rFonts w:eastAsia="Arial"/>
                <w:sz w:val="19"/>
                <w:szCs w:val="19"/>
              </w:rPr>
              <w:t>Director</w:t>
            </w:r>
          </w:p>
        </w:tc>
        <w:tc>
          <w:tcPr>
            <w:tcW w:w="33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180BC9BC" w14:textId="77777777" w:rsidR="002E1024" w:rsidRDefault="00000000">
            <w:pPr>
              <w:spacing w:before="40" w:after="40"/>
            </w:pPr>
            <w:r>
              <w:rPr>
                <w:rFonts w:eastAsia="Arial"/>
                <w:sz w:val="19"/>
                <w:szCs w:val="19"/>
              </w:rPr>
              <w:t>Initial issue — for counterparty due diligence submissions</w:t>
            </w:r>
          </w:p>
        </w:tc>
      </w:tr>
    </w:tbl>
    <w:p w14:paraId="19D9A288" w14:textId="77777777" w:rsidR="00A0481E" w:rsidRDefault="00A0481E"/>
    <w:sectPr w:rsidR="00A0481E">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29A5" w14:textId="77777777" w:rsidR="0085225E" w:rsidRDefault="0085225E">
      <w:r>
        <w:separator/>
      </w:r>
    </w:p>
  </w:endnote>
  <w:endnote w:type="continuationSeparator" w:id="0">
    <w:p w14:paraId="527DADDB" w14:textId="77777777" w:rsidR="0085225E" w:rsidRDefault="0085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49B5" w14:textId="77777777" w:rsidR="002E1024" w:rsidRDefault="00000000">
    <w:pPr>
      <w:pBdr>
        <w:top w:val="single" w:sz="4" w:space="2" w:color="2E75B6"/>
      </w:pBdr>
      <w:spacing w:before="60"/>
      <w:jc w:val="center"/>
    </w:pPr>
    <w:r>
      <w:rPr>
        <w:rFonts w:eastAsia="Arial"/>
        <w:i/>
        <w:iCs/>
        <w:color w:val="555555"/>
        <w:sz w:val="15"/>
        <w:szCs w:val="15"/>
      </w:rPr>
      <w:t xml:space="preserve">ELRC TRADING Pty </w:t>
    </w:r>
    <w:proofErr w:type="gramStart"/>
    <w:r>
      <w:rPr>
        <w:rFonts w:eastAsia="Arial"/>
        <w:i/>
        <w:iCs/>
        <w:color w:val="555555"/>
        <w:sz w:val="15"/>
        <w:szCs w:val="15"/>
      </w:rPr>
      <w:t>Ltd  |</w:t>
    </w:r>
    <w:proofErr w:type="gramEnd"/>
    <w:r>
      <w:rPr>
        <w:rFonts w:eastAsia="Arial"/>
        <w:i/>
        <w:iCs/>
        <w:color w:val="555555"/>
        <w:sz w:val="15"/>
        <w:szCs w:val="15"/>
      </w:rPr>
      <w:t xml:space="preserve">  ACN 686 501 </w:t>
    </w:r>
    <w:proofErr w:type="gramStart"/>
    <w:r>
      <w:rPr>
        <w:rFonts w:eastAsia="Arial"/>
        <w:i/>
        <w:iCs/>
        <w:color w:val="555555"/>
        <w:sz w:val="15"/>
        <w:szCs w:val="15"/>
      </w:rPr>
      <w:t>995  |</w:t>
    </w:r>
    <w:proofErr w:type="gramEnd"/>
    <w:r>
      <w:rPr>
        <w:rFonts w:eastAsia="Arial"/>
        <w:i/>
        <w:iCs/>
        <w:color w:val="555555"/>
        <w:sz w:val="15"/>
        <w:szCs w:val="15"/>
      </w:rPr>
      <w:t xml:space="preserve">  AUSTRAC DEC100894298-001 &amp; IND100894298-</w:t>
    </w:r>
    <w:proofErr w:type="gramStart"/>
    <w:r>
      <w:rPr>
        <w:rFonts w:eastAsia="Arial"/>
        <w:i/>
        <w:iCs/>
        <w:color w:val="555555"/>
        <w:sz w:val="15"/>
        <w:szCs w:val="15"/>
      </w:rPr>
      <w:t>001  |</w:t>
    </w:r>
    <w:proofErr w:type="gramEnd"/>
    <w:r>
      <w:rPr>
        <w:rFonts w:eastAsia="Arial"/>
        <w:i/>
        <w:iCs/>
        <w:color w:val="555555"/>
        <w:sz w:val="15"/>
        <w:szCs w:val="15"/>
      </w:rPr>
      <w:t xml:space="preserve">  Page </w:t>
    </w:r>
    <w:r>
      <w:fldChar w:fldCharType="begin"/>
    </w:r>
    <w:r>
      <w:instrText>[object Object]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648D" w14:textId="77777777" w:rsidR="0085225E" w:rsidRDefault="0085225E">
      <w:r>
        <w:separator/>
      </w:r>
    </w:p>
  </w:footnote>
  <w:footnote w:type="continuationSeparator" w:id="0">
    <w:p w14:paraId="3014A5FA" w14:textId="77777777" w:rsidR="0085225E" w:rsidRDefault="0085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44"/>
      <w:gridCol w:w="2316"/>
    </w:tblGrid>
    <w:tr w:rsidR="002E1024" w14:paraId="01A7EAFC" w14:textId="77777777">
      <w:tc>
        <w:tcPr>
          <w:tcW w:w="0" w:type="auto"/>
          <w:tcBorders>
            <w:top w:val="none" w:sz="0" w:space="0" w:color="FFFFFF"/>
            <w:left w:val="none" w:sz="0" w:space="0" w:color="FFFFFF"/>
            <w:bottom w:val="none" w:sz="0" w:space="0" w:color="FFFFFF"/>
            <w:right w:val="none" w:sz="0" w:space="0" w:color="FFFFFF"/>
          </w:tcBorders>
        </w:tcPr>
        <w:p w14:paraId="20653F59" w14:textId="77777777" w:rsidR="002E1024" w:rsidRDefault="00000000">
          <w:r>
            <w:rPr>
              <w:rFonts w:eastAsia="Arial"/>
              <w:b/>
              <w:bCs/>
              <w:color w:val="1F3864"/>
              <w:sz w:val="17"/>
              <w:szCs w:val="17"/>
            </w:rPr>
            <w:t>ELRC TRADING — Operational Governance Overview</w:t>
          </w:r>
        </w:p>
      </w:tc>
      <w:tc>
        <w:tcPr>
          <w:tcW w:w="0" w:type="auto"/>
          <w:tcBorders>
            <w:top w:val="none" w:sz="0" w:space="0" w:color="FFFFFF"/>
            <w:left w:val="none" w:sz="0" w:space="0" w:color="FFFFFF"/>
            <w:bottom w:val="none" w:sz="0" w:space="0" w:color="FFFFFF"/>
            <w:right w:val="none" w:sz="0" w:space="0" w:color="FFFFFF"/>
          </w:tcBorders>
        </w:tcPr>
        <w:p w14:paraId="673BF160" w14:textId="77777777" w:rsidR="002E1024" w:rsidRDefault="00000000">
          <w:pPr>
            <w:jc w:val="right"/>
          </w:pPr>
          <w:r>
            <w:rPr>
              <w:rFonts w:eastAsia="Arial"/>
              <w:i/>
              <w:iCs/>
              <w:color w:val="555555"/>
              <w:sz w:val="15"/>
              <w:szCs w:val="15"/>
            </w:rPr>
            <w:t>ELRC-GOV-001 v1.0</w:t>
          </w:r>
        </w:p>
      </w:tc>
    </w:tr>
  </w:tbl>
  <w:p w14:paraId="21EE89BC" w14:textId="77777777" w:rsidR="002E1024" w:rsidRDefault="002E1024">
    <w:pPr>
      <w:pBdr>
        <w:bottom w:val="single" w:sz="4" w:space="2" w:color="2E75B6"/>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E370A"/>
    <w:multiLevelType w:val="hybridMultilevel"/>
    <w:tmpl w:val="5140807E"/>
    <w:lvl w:ilvl="0" w:tplc="CC52EE20">
      <w:start w:val="1"/>
      <w:numFmt w:val="bullet"/>
      <w:lvlText w:val="•"/>
      <w:lvlJc w:val="left"/>
      <w:pPr>
        <w:ind w:left="640" w:hanging="320"/>
      </w:pPr>
      <w:rPr>
        <w:rFonts w:ascii="Arial" w:eastAsia="Arial" w:hAnsi="Arial" w:cs="Arial"/>
      </w:rPr>
    </w:lvl>
    <w:lvl w:ilvl="1" w:tplc="09F8E808">
      <w:numFmt w:val="decimal"/>
      <w:lvlText w:val=""/>
      <w:lvlJc w:val="left"/>
    </w:lvl>
    <w:lvl w:ilvl="2" w:tplc="33ACBFB0">
      <w:numFmt w:val="decimal"/>
      <w:lvlText w:val=""/>
      <w:lvlJc w:val="left"/>
    </w:lvl>
    <w:lvl w:ilvl="3" w:tplc="74DEC4BE">
      <w:numFmt w:val="decimal"/>
      <w:lvlText w:val=""/>
      <w:lvlJc w:val="left"/>
    </w:lvl>
    <w:lvl w:ilvl="4" w:tplc="3814C208">
      <w:numFmt w:val="decimal"/>
      <w:lvlText w:val=""/>
      <w:lvlJc w:val="left"/>
    </w:lvl>
    <w:lvl w:ilvl="5" w:tplc="35DCC0B0">
      <w:numFmt w:val="decimal"/>
      <w:lvlText w:val=""/>
      <w:lvlJc w:val="left"/>
    </w:lvl>
    <w:lvl w:ilvl="6" w:tplc="C6D69574">
      <w:numFmt w:val="decimal"/>
      <w:lvlText w:val=""/>
      <w:lvlJc w:val="left"/>
    </w:lvl>
    <w:lvl w:ilvl="7" w:tplc="12BE6898">
      <w:numFmt w:val="decimal"/>
      <w:lvlText w:val=""/>
      <w:lvlJc w:val="left"/>
    </w:lvl>
    <w:lvl w:ilvl="8" w:tplc="0BB8E538">
      <w:numFmt w:val="decimal"/>
      <w:lvlText w:val=""/>
      <w:lvlJc w:val="left"/>
    </w:lvl>
  </w:abstractNum>
  <w:abstractNum w:abstractNumId="1" w15:restartNumberingAfterBreak="0">
    <w:nsid w:val="728479DB"/>
    <w:multiLevelType w:val="hybridMultilevel"/>
    <w:tmpl w:val="270099E4"/>
    <w:lvl w:ilvl="0" w:tplc="29980420">
      <w:start w:val="1"/>
      <w:numFmt w:val="bullet"/>
      <w:lvlText w:val="●"/>
      <w:lvlJc w:val="left"/>
      <w:pPr>
        <w:ind w:left="720" w:hanging="360"/>
      </w:pPr>
    </w:lvl>
    <w:lvl w:ilvl="1" w:tplc="ACFCC170">
      <w:start w:val="1"/>
      <w:numFmt w:val="bullet"/>
      <w:lvlText w:val="○"/>
      <w:lvlJc w:val="left"/>
      <w:pPr>
        <w:ind w:left="1440" w:hanging="360"/>
      </w:pPr>
    </w:lvl>
    <w:lvl w:ilvl="2" w:tplc="94143BD0">
      <w:start w:val="1"/>
      <w:numFmt w:val="bullet"/>
      <w:lvlText w:val="■"/>
      <w:lvlJc w:val="left"/>
      <w:pPr>
        <w:ind w:left="2160" w:hanging="360"/>
      </w:pPr>
    </w:lvl>
    <w:lvl w:ilvl="3" w:tplc="1AF0EA38">
      <w:start w:val="1"/>
      <w:numFmt w:val="bullet"/>
      <w:lvlText w:val="●"/>
      <w:lvlJc w:val="left"/>
      <w:pPr>
        <w:ind w:left="2880" w:hanging="360"/>
      </w:pPr>
    </w:lvl>
    <w:lvl w:ilvl="4" w:tplc="1A3EFD1E">
      <w:start w:val="1"/>
      <w:numFmt w:val="bullet"/>
      <w:lvlText w:val="○"/>
      <w:lvlJc w:val="left"/>
      <w:pPr>
        <w:ind w:left="3600" w:hanging="360"/>
      </w:pPr>
    </w:lvl>
    <w:lvl w:ilvl="5" w:tplc="2FCCF3DC">
      <w:start w:val="1"/>
      <w:numFmt w:val="bullet"/>
      <w:lvlText w:val="■"/>
      <w:lvlJc w:val="left"/>
      <w:pPr>
        <w:ind w:left="4320" w:hanging="360"/>
      </w:pPr>
    </w:lvl>
    <w:lvl w:ilvl="6" w:tplc="CDEA012A">
      <w:start w:val="1"/>
      <w:numFmt w:val="bullet"/>
      <w:lvlText w:val="●"/>
      <w:lvlJc w:val="left"/>
      <w:pPr>
        <w:ind w:left="5040" w:hanging="360"/>
      </w:pPr>
    </w:lvl>
    <w:lvl w:ilvl="7" w:tplc="E9D65F46">
      <w:start w:val="1"/>
      <w:numFmt w:val="bullet"/>
      <w:lvlText w:val="●"/>
      <w:lvlJc w:val="left"/>
      <w:pPr>
        <w:ind w:left="5760" w:hanging="360"/>
      </w:pPr>
    </w:lvl>
    <w:lvl w:ilvl="8" w:tplc="6A6E876E">
      <w:start w:val="1"/>
      <w:numFmt w:val="bullet"/>
      <w:lvlText w:val="●"/>
      <w:lvlJc w:val="left"/>
      <w:pPr>
        <w:ind w:left="6480" w:hanging="360"/>
      </w:pPr>
    </w:lvl>
  </w:abstractNum>
  <w:num w:numId="1" w16cid:durableId="4007156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24"/>
    <w:rsid w:val="00000785"/>
    <w:rsid w:val="000D38D8"/>
    <w:rsid w:val="002E1024"/>
    <w:rsid w:val="00323956"/>
    <w:rsid w:val="003F4A61"/>
    <w:rsid w:val="007D6A30"/>
    <w:rsid w:val="0085225E"/>
    <w:rsid w:val="009B3C44"/>
    <w:rsid w:val="00A0481E"/>
    <w:rsid w:val="00E6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C2CDFD0"/>
  <w15:docId w15:val="{4EB5FBA6-C2F4-3D43-A8B1-71698CE9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60" w:after="70"/>
      <w:outlineLvl w:val="0"/>
    </w:pPr>
    <w:rPr>
      <w:rFonts w:eastAsia="Arial"/>
      <w:b/>
      <w:bCs/>
      <w:color w:val="1F3864"/>
      <w:sz w:val="28"/>
      <w:szCs w:val="28"/>
    </w:rPr>
  </w:style>
  <w:style w:type="paragraph" w:styleId="2">
    <w:name w:val="heading 2"/>
    <w:uiPriority w:val="9"/>
    <w:semiHidden/>
    <w:unhideWhenUsed/>
    <w:qFormat/>
    <w:pPr>
      <w:spacing w:before="160" w:after="60"/>
      <w:outlineLvl w:val="1"/>
    </w:pPr>
    <w:rPr>
      <w:rFonts w:eastAsia="Arial"/>
      <w:b/>
      <w:bCs/>
      <w:color w:val="2E75B6"/>
      <w:sz w:val="23"/>
      <w:szCs w:val="23"/>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hao chen</cp:lastModifiedBy>
  <cp:revision>5</cp:revision>
  <dcterms:created xsi:type="dcterms:W3CDTF">2026-03-16T10:57:00Z</dcterms:created>
  <dcterms:modified xsi:type="dcterms:W3CDTF">2026-03-16T23:21:00Z</dcterms:modified>
</cp:coreProperties>
</file>