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0B831" w14:textId="77777777" w:rsidR="0051384D" w:rsidRPr="00025501" w:rsidRDefault="0051384D">
      <w:pPr>
        <w:spacing w:before="300"/>
        <w:rPr>
          <w:lang w:val="en-AU"/>
        </w:rPr>
      </w:pPr>
    </w:p>
    <w:p w14:paraId="36B70BE3" w14:textId="77777777" w:rsidR="0051384D" w:rsidRDefault="00000000">
      <w:pPr>
        <w:spacing w:after="60"/>
        <w:jc w:val="center"/>
      </w:pPr>
      <w:r>
        <w:rPr>
          <w:rFonts w:eastAsia="Arial"/>
          <w:b/>
          <w:bCs/>
          <w:color w:val="1F4E79"/>
          <w:sz w:val="48"/>
          <w:szCs w:val="48"/>
        </w:rPr>
        <w:t>ELRC TRADING PTY LTD</w:t>
      </w:r>
    </w:p>
    <w:p w14:paraId="274FE65F" w14:textId="77777777" w:rsidR="0051384D" w:rsidRDefault="00000000">
      <w:pPr>
        <w:spacing w:after="240"/>
        <w:jc w:val="center"/>
      </w:pPr>
      <w:r>
        <w:rPr>
          <w:rFonts w:eastAsia="Arial"/>
          <w:color w:val="595959"/>
          <w:sz w:val="20"/>
          <w:szCs w:val="20"/>
        </w:rPr>
        <w:t xml:space="preserve">ACN: 686 501 </w:t>
      </w:r>
      <w:proofErr w:type="gramStart"/>
      <w:r>
        <w:rPr>
          <w:rFonts w:eastAsia="Arial"/>
          <w:color w:val="595959"/>
          <w:sz w:val="20"/>
          <w:szCs w:val="20"/>
        </w:rPr>
        <w:t>995  |</w:t>
      </w:r>
      <w:proofErr w:type="gramEnd"/>
      <w:r>
        <w:rPr>
          <w:rFonts w:eastAsia="Arial"/>
          <w:color w:val="595959"/>
          <w:sz w:val="20"/>
          <w:szCs w:val="20"/>
        </w:rPr>
        <w:t xml:space="preserve">  AUSTRAC: DEC100894298-001 &amp; IND100894298-001</w:t>
      </w:r>
    </w:p>
    <w:p w14:paraId="3F459B5C" w14:textId="77777777" w:rsidR="0051384D" w:rsidRDefault="00000000">
      <w:pPr>
        <w:shd w:val="clear" w:color="auto" w:fill="1F4E79"/>
        <w:spacing w:before="160"/>
        <w:jc w:val="center"/>
      </w:pPr>
      <w:r>
        <w:rPr>
          <w:rFonts w:eastAsia="Arial"/>
          <w:b/>
          <w:bCs/>
          <w:color w:val="FFFFFF"/>
          <w:sz w:val="36"/>
          <w:szCs w:val="36"/>
        </w:rPr>
        <w:t>THIRD-PARTY VENDOR MANAGEMENT POLICY</w:t>
      </w:r>
    </w:p>
    <w:p w14:paraId="6C65F1E2" w14:textId="77777777" w:rsidR="0051384D" w:rsidRDefault="00000000">
      <w:pPr>
        <w:shd w:val="clear" w:color="auto" w:fill="2E75B6"/>
        <w:spacing w:after="300"/>
        <w:jc w:val="center"/>
      </w:pPr>
      <w:r>
        <w:rPr>
          <w:rFonts w:eastAsia="Arial"/>
          <w:color w:val="FFFFFF"/>
          <w:sz w:val="20"/>
          <w:szCs w:val="20"/>
        </w:rPr>
        <w:t xml:space="preserve">Vendor Due </w:t>
      </w:r>
      <w:proofErr w:type="gramStart"/>
      <w:r>
        <w:rPr>
          <w:rFonts w:eastAsia="Arial"/>
          <w:color w:val="FFFFFF"/>
          <w:sz w:val="20"/>
          <w:szCs w:val="20"/>
        </w:rPr>
        <w:t>Diligence  |</w:t>
      </w:r>
      <w:proofErr w:type="gramEnd"/>
      <w:r>
        <w:rPr>
          <w:rFonts w:eastAsia="Arial"/>
          <w:color w:val="FFFFFF"/>
          <w:sz w:val="20"/>
          <w:szCs w:val="20"/>
        </w:rPr>
        <w:t xml:space="preserve">  Banking </w:t>
      </w:r>
      <w:proofErr w:type="gramStart"/>
      <w:r>
        <w:rPr>
          <w:rFonts w:eastAsia="Arial"/>
          <w:color w:val="FFFFFF"/>
          <w:sz w:val="20"/>
          <w:szCs w:val="20"/>
        </w:rPr>
        <w:t>Relationships  |</w:t>
      </w:r>
      <w:proofErr w:type="gramEnd"/>
      <w:r>
        <w:rPr>
          <w:rFonts w:eastAsia="Arial"/>
          <w:color w:val="FFFFFF"/>
          <w:sz w:val="20"/>
          <w:szCs w:val="20"/>
        </w:rPr>
        <w:t xml:space="preserve">  Technology </w:t>
      </w:r>
      <w:proofErr w:type="gramStart"/>
      <w:r>
        <w:rPr>
          <w:rFonts w:eastAsia="Arial"/>
          <w:color w:val="FFFFFF"/>
          <w:sz w:val="20"/>
          <w:szCs w:val="20"/>
        </w:rPr>
        <w:t>Providers  |</w:t>
      </w:r>
      <w:proofErr w:type="gramEnd"/>
      <w:r>
        <w:rPr>
          <w:rFonts w:eastAsia="Arial"/>
          <w:color w:val="FFFFFF"/>
          <w:sz w:val="20"/>
          <w:szCs w:val="20"/>
        </w:rPr>
        <w:t xml:space="preserve">  Ongoing Oversight</w:t>
      </w:r>
    </w:p>
    <w:p w14:paraId="1DFD66A9" w14:textId="77777777" w:rsidR="0051384D" w:rsidRDefault="00000000">
      <w:r>
        <w:br w:type="page"/>
      </w:r>
    </w:p>
    <w:p w14:paraId="1D58291A" w14:textId="77777777" w:rsidR="0051384D" w:rsidRDefault="00000000">
      <w:pPr>
        <w:pStyle w:val="1"/>
        <w:shd w:val="clear" w:color="auto" w:fill="1F4E79"/>
        <w:ind w:left="180"/>
      </w:pPr>
      <w:r>
        <w:lastRenderedPageBreak/>
        <w:t>1.  Purpose and Scope</w:t>
      </w:r>
    </w:p>
    <w:p w14:paraId="5A2D9DC4" w14:textId="77777777" w:rsidR="0051384D" w:rsidRDefault="00000000">
      <w:pPr>
        <w:spacing w:after="100"/>
      </w:pPr>
      <w:r>
        <w:rPr>
          <w:rFonts w:eastAsia="Arial"/>
        </w:rPr>
        <w:t>This Third-Party Vendor Management Policy ("Policy") establishes the framework for identifying, assessing, onboarding, monitoring, and offboarding all third-party service providers engaged by ELRC TRADING Pty Ltd. It applies to vendors that provide services material to ELRC's compliance obligations, financial operations, or client-facing services.</w:t>
      </w:r>
    </w:p>
    <w:p w14:paraId="230A4172" w14:textId="77777777" w:rsidR="0051384D" w:rsidRDefault="00000000">
      <w:pPr>
        <w:spacing w:after="100"/>
      </w:pPr>
      <w:r>
        <w:rPr>
          <w:rFonts w:eastAsia="Arial"/>
        </w:rPr>
        <w:t>This Policy is particularly relevant to ELRC's obligations under the AML/CTF Act 2006 (</w:t>
      </w:r>
      <w:proofErr w:type="spellStart"/>
      <w:r>
        <w:rPr>
          <w:rFonts w:eastAsia="Arial"/>
        </w:rPr>
        <w:t>Cth</w:t>
      </w:r>
      <w:proofErr w:type="spellEnd"/>
      <w:r>
        <w:rPr>
          <w:rFonts w:eastAsia="Arial"/>
        </w:rPr>
        <w:t>), including AUSTRAC guidance on reliance on third-party compliance tool providers (ss. 37A, 38 AML/CTF Act), and the Privacy Act 1988 (</w:t>
      </w:r>
      <w:proofErr w:type="spellStart"/>
      <w:r>
        <w:rPr>
          <w:rFonts w:eastAsia="Arial"/>
        </w:rPr>
        <w:t>Cth</w:t>
      </w:r>
      <w:proofErr w:type="spellEnd"/>
      <w:r>
        <w:rPr>
          <w:rFonts w:eastAsia="Arial"/>
        </w:rPr>
        <w:t>) requirements for overseas data disclosure.</w:t>
      </w:r>
    </w:p>
    <w:p w14:paraId="5B7D72B4" w14:textId="77777777" w:rsidR="0051384D" w:rsidRDefault="00000000">
      <w:pPr>
        <w:pStyle w:val="1"/>
        <w:shd w:val="clear" w:color="auto" w:fill="1F4E79"/>
        <w:ind w:left="180"/>
      </w:pPr>
      <w:r>
        <w:t>2.  Vendor Classification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2400"/>
        <w:gridCol w:w="2360"/>
        <w:gridCol w:w="2800"/>
      </w:tblGrid>
      <w:tr w:rsidR="0051384D" w14:paraId="288D6A16" w14:textId="77777777">
        <w:trPr>
          <w:tblHeader/>
        </w:trPr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6A63762" w14:textId="77777777" w:rsidR="0051384D" w:rsidRDefault="00000000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Tier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1A79C31" w14:textId="77777777" w:rsidR="0051384D" w:rsidRDefault="00000000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Description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61FEBB9" w14:textId="77777777" w:rsidR="0051384D" w:rsidRDefault="00000000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Examples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1A315F0" w14:textId="77777777" w:rsidR="0051384D" w:rsidRDefault="00000000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Due Diligence Level</w:t>
            </w:r>
          </w:p>
        </w:tc>
      </w:tr>
      <w:tr w:rsidR="0051384D" w14:paraId="1575F568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2B95EC" w14:textId="77777777" w:rsidR="0051384D" w:rsidRDefault="00000000">
            <w:r>
              <w:rPr>
                <w:rFonts w:eastAsia="Arial"/>
                <w:color w:val="000000"/>
                <w:sz w:val="19"/>
                <w:szCs w:val="19"/>
              </w:rPr>
              <w:t>Tier 1 — Critical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2366F6" w14:textId="77777777" w:rsidR="0051384D" w:rsidRDefault="00000000">
            <w:r>
              <w:rPr>
                <w:rFonts w:eastAsia="Arial"/>
                <w:color w:val="000000"/>
                <w:sz w:val="19"/>
                <w:szCs w:val="19"/>
              </w:rPr>
              <w:t>Access to client data, AML/CTF functions, or financial systems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31B83F" w14:textId="4051D8E4" w:rsidR="0051384D" w:rsidRDefault="00000000">
            <w:proofErr w:type="spellStart"/>
            <w:r>
              <w:rPr>
                <w:rFonts w:eastAsia="Arial"/>
                <w:color w:val="000000"/>
                <w:sz w:val="19"/>
                <w:szCs w:val="19"/>
              </w:rPr>
              <w:t>ComplyAdvantage</w:t>
            </w:r>
            <w:proofErr w:type="spellEnd"/>
            <w:r>
              <w:rPr>
                <w:rFonts w:eastAsia="Arial"/>
                <w:color w:val="000000"/>
                <w:sz w:val="19"/>
                <w:szCs w:val="19"/>
              </w:rPr>
              <w:t>, banking partners, cloud hosting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760A4C" w14:textId="77777777" w:rsidR="0051384D" w:rsidRDefault="00000000">
            <w:r>
              <w:rPr>
                <w:rFonts w:eastAsia="Arial"/>
                <w:color w:val="000000"/>
                <w:sz w:val="19"/>
                <w:szCs w:val="19"/>
              </w:rPr>
              <w:t>Full enhanced due diligence + annual review</w:t>
            </w:r>
          </w:p>
        </w:tc>
      </w:tr>
      <w:tr w:rsidR="0051384D" w14:paraId="3BC8DA0F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544A8E" w14:textId="77777777" w:rsidR="0051384D" w:rsidRDefault="00000000">
            <w:r>
              <w:rPr>
                <w:rFonts w:eastAsia="Arial"/>
                <w:color w:val="000000"/>
                <w:sz w:val="19"/>
                <w:szCs w:val="19"/>
              </w:rPr>
              <w:t>Tier 2 — Important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BD1721" w14:textId="77777777" w:rsidR="0051384D" w:rsidRDefault="00000000">
            <w:r>
              <w:rPr>
                <w:rFonts w:eastAsia="Arial"/>
                <w:color w:val="000000"/>
                <w:sz w:val="19"/>
                <w:szCs w:val="19"/>
              </w:rPr>
              <w:t>Operational services without direct data access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2D3C42" w14:textId="77777777" w:rsidR="0051384D" w:rsidRDefault="00000000">
            <w:r>
              <w:rPr>
                <w:rFonts w:eastAsia="Arial"/>
                <w:color w:val="000000"/>
                <w:sz w:val="19"/>
                <w:szCs w:val="19"/>
              </w:rPr>
              <w:t>Legal counsel, external auditors, HR platform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6D7FB4" w14:textId="77777777" w:rsidR="0051384D" w:rsidRDefault="00000000">
            <w:r>
              <w:rPr>
                <w:rFonts w:eastAsia="Arial"/>
                <w:color w:val="000000"/>
                <w:sz w:val="19"/>
                <w:szCs w:val="19"/>
              </w:rPr>
              <w:t>Standard due diligence + bi-annual review</w:t>
            </w:r>
          </w:p>
        </w:tc>
      </w:tr>
      <w:tr w:rsidR="0051384D" w14:paraId="4C22F8CE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6237BC" w14:textId="77777777" w:rsidR="0051384D" w:rsidRDefault="00000000">
            <w:r>
              <w:rPr>
                <w:rFonts w:eastAsia="Arial"/>
                <w:color w:val="000000"/>
                <w:sz w:val="19"/>
                <w:szCs w:val="19"/>
              </w:rPr>
              <w:t>Tier 3 — Standard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00E950" w14:textId="77777777" w:rsidR="0051384D" w:rsidRDefault="00000000">
            <w:r>
              <w:rPr>
                <w:rFonts w:eastAsia="Arial"/>
                <w:color w:val="000000"/>
                <w:sz w:val="19"/>
                <w:szCs w:val="19"/>
              </w:rPr>
              <w:t>General business services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035683" w14:textId="77777777" w:rsidR="0051384D" w:rsidRDefault="00000000">
            <w:r>
              <w:rPr>
                <w:rFonts w:eastAsia="Arial"/>
                <w:color w:val="000000"/>
                <w:sz w:val="19"/>
                <w:szCs w:val="19"/>
              </w:rPr>
              <w:t>Office supplies, facilities, generic SaaS tools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1ABF1F" w14:textId="77777777" w:rsidR="0051384D" w:rsidRDefault="00000000">
            <w:r>
              <w:rPr>
                <w:rFonts w:eastAsia="Arial"/>
                <w:color w:val="000000"/>
                <w:sz w:val="19"/>
                <w:szCs w:val="19"/>
              </w:rPr>
              <w:t>Simplified due diligence + annual review</w:t>
            </w:r>
          </w:p>
        </w:tc>
      </w:tr>
    </w:tbl>
    <w:p w14:paraId="74AFC9EE" w14:textId="77777777" w:rsidR="0051384D" w:rsidRDefault="0051384D">
      <w:pPr>
        <w:spacing w:after="120"/>
      </w:pPr>
    </w:p>
    <w:p w14:paraId="16E29A29" w14:textId="77777777" w:rsidR="0051384D" w:rsidRDefault="00000000">
      <w:pPr>
        <w:pStyle w:val="1"/>
        <w:shd w:val="clear" w:color="auto" w:fill="1F4E79"/>
        <w:ind w:left="180"/>
      </w:pPr>
      <w:r>
        <w:t>3.  Tier 1 Vendor Due Diligence Requirements</w:t>
      </w:r>
    </w:p>
    <w:p w14:paraId="0E40E38D" w14:textId="77777777" w:rsidR="0051384D" w:rsidRDefault="00000000">
      <w:pPr>
        <w:pStyle w:val="2"/>
        <w:pBdr>
          <w:bottom w:val="single" w:sz="4" w:space="4" w:color="2E75B6"/>
        </w:pBdr>
      </w:pPr>
      <w:proofErr w:type="gramStart"/>
      <w:r>
        <w:t>3.1  Pre</w:t>
      </w:r>
      <w:proofErr w:type="gramEnd"/>
      <w:r>
        <w:t>-Engagement Assessment</w:t>
      </w:r>
    </w:p>
    <w:p w14:paraId="6A6644BA" w14:textId="77777777" w:rsidR="0051384D" w:rsidRDefault="00000000">
      <w:pPr>
        <w:spacing w:after="100"/>
      </w:pPr>
      <w:r>
        <w:rPr>
          <w:rFonts w:eastAsia="Arial"/>
        </w:rPr>
        <w:t>Before engaging any Tier 1 vendor, the Compliance Officer must complete a Vendor Due Diligence Assessment covering the following areas:</w:t>
      </w:r>
    </w:p>
    <w:p w14:paraId="70678FB9" w14:textId="77777777" w:rsidR="0051384D" w:rsidRDefault="00000000">
      <w:pPr>
        <w:pStyle w:val="a4"/>
        <w:numPr>
          <w:ilvl w:val="0"/>
          <w:numId w:val="2"/>
        </w:numPr>
        <w:spacing w:after="80"/>
      </w:pPr>
      <w:r>
        <w:rPr>
          <w:rFonts w:eastAsia="Arial"/>
        </w:rPr>
        <w:t xml:space="preserve">Regulatory status: Confirm vendor is a </w:t>
      </w:r>
      <w:proofErr w:type="spellStart"/>
      <w:r>
        <w:rPr>
          <w:rFonts w:eastAsia="Arial"/>
        </w:rPr>
        <w:t>recognised</w:t>
      </w:r>
      <w:proofErr w:type="spellEnd"/>
      <w:r>
        <w:rPr>
          <w:rFonts w:eastAsia="Arial"/>
        </w:rPr>
        <w:t xml:space="preserve"> compliance tool provider, regulated entity, or </w:t>
      </w:r>
      <w:proofErr w:type="spellStart"/>
      <w:r>
        <w:rPr>
          <w:rFonts w:eastAsia="Arial"/>
        </w:rPr>
        <w:t>Authorised</w:t>
      </w:r>
      <w:proofErr w:type="spellEnd"/>
      <w:r>
        <w:rPr>
          <w:rFonts w:eastAsia="Arial"/>
        </w:rPr>
        <w:t xml:space="preserve"> Deposit-taking Institution (ADI) as applicable.</w:t>
      </w:r>
    </w:p>
    <w:p w14:paraId="5001AB96" w14:textId="77777777" w:rsidR="0051384D" w:rsidRDefault="00000000">
      <w:pPr>
        <w:pStyle w:val="a4"/>
        <w:numPr>
          <w:ilvl w:val="0"/>
          <w:numId w:val="2"/>
        </w:numPr>
        <w:spacing w:after="80"/>
      </w:pPr>
      <w:r>
        <w:rPr>
          <w:rFonts w:eastAsia="Arial"/>
        </w:rPr>
        <w:t>AML/CTF compliance: Obtain evidence of vendor's own AML/CTF program, compliance certifications, and any regulatory enforcement history.</w:t>
      </w:r>
    </w:p>
    <w:p w14:paraId="6B206B3D" w14:textId="77777777" w:rsidR="0051384D" w:rsidRDefault="00000000">
      <w:pPr>
        <w:pStyle w:val="a4"/>
        <w:numPr>
          <w:ilvl w:val="0"/>
          <w:numId w:val="2"/>
        </w:numPr>
        <w:spacing w:after="80"/>
      </w:pPr>
      <w:r>
        <w:rPr>
          <w:rFonts w:eastAsia="Arial"/>
        </w:rPr>
        <w:t>Data security: Review vendor's information security policy, data encryption standards, incident response procedures, and any relevant certifications (e.g., ISO 27001, SOC 2).</w:t>
      </w:r>
    </w:p>
    <w:p w14:paraId="55BEE384" w14:textId="77777777" w:rsidR="0051384D" w:rsidRDefault="00000000">
      <w:pPr>
        <w:pStyle w:val="a4"/>
        <w:numPr>
          <w:ilvl w:val="0"/>
          <w:numId w:val="2"/>
        </w:numPr>
        <w:spacing w:after="80"/>
      </w:pPr>
      <w:r>
        <w:rPr>
          <w:rFonts w:eastAsia="Arial"/>
        </w:rPr>
        <w:t>Data hosting: Confirm data is hosted in Australia or jurisdictions with equivalent data protection standards. Obtain confirmation of data residency in writing.</w:t>
      </w:r>
    </w:p>
    <w:p w14:paraId="172B2F6C" w14:textId="77777777" w:rsidR="0051384D" w:rsidRDefault="00000000">
      <w:pPr>
        <w:pStyle w:val="a4"/>
        <w:numPr>
          <w:ilvl w:val="0"/>
          <w:numId w:val="2"/>
        </w:numPr>
        <w:spacing w:after="80"/>
      </w:pPr>
      <w:r>
        <w:rPr>
          <w:rFonts w:eastAsia="Arial"/>
        </w:rPr>
        <w:t>Financial stability: Review vendor's financial health (publicly available information, credit checks, or financial statements as appropriate) to assess business continuity risk.</w:t>
      </w:r>
    </w:p>
    <w:p w14:paraId="6EC70E5C" w14:textId="77777777" w:rsidR="0051384D" w:rsidRDefault="00000000">
      <w:pPr>
        <w:pStyle w:val="a4"/>
        <w:numPr>
          <w:ilvl w:val="0"/>
          <w:numId w:val="2"/>
        </w:numPr>
        <w:spacing w:after="80"/>
      </w:pPr>
      <w:r>
        <w:rPr>
          <w:rFonts w:eastAsia="Arial"/>
        </w:rPr>
        <w:t>Sanctions screening: Screen vendor entity, key personnel, and ownership through ELRC's screening tool before engagement.</w:t>
      </w:r>
    </w:p>
    <w:p w14:paraId="657ECE3D" w14:textId="77777777" w:rsidR="0051384D" w:rsidRDefault="00000000">
      <w:pPr>
        <w:pStyle w:val="a4"/>
        <w:numPr>
          <w:ilvl w:val="0"/>
          <w:numId w:val="2"/>
        </w:numPr>
        <w:spacing w:after="80"/>
      </w:pPr>
      <w:r>
        <w:rPr>
          <w:rFonts w:eastAsia="Arial"/>
        </w:rPr>
        <w:t>Reference checks: Obtain at least two references from other Australian financial services or fintech clients of the vendor where possible.</w:t>
      </w:r>
    </w:p>
    <w:p w14:paraId="4CBAECE0" w14:textId="77777777" w:rsidR="0051384D" w:rsidRDefault="00000000">
      <w:pPr>
        <w:pStyle w:val="2"/>
        <w:pBdr>
          <w:bottom w:val="single" w:sz="4" w:space="4" w:color="2E75B6"/>
        </w:pBdr>
      </w:pPr>
      <w:proofErr w:type="gramStart"/>
      <w:r>
        <w:t>3.2  Contractual</w:t>
      </w:r>
      <w:proofErr w:type="gramEnd"/>
      <w:r>
        <w:t xml:space="preserve"> Requirements for Tier 1 Vendors</w:t>
      </w:r>
    </w:p>
    <w:p w14:paraId="3A1E2ABD" w14:textId="77777777" w:rsidR="0051384D" w:rsidRDefault="00000000">
      <w:pPr>
        <w:spacing w:after="100"/>
      </w:pPr>
      <w:r>
        <w:rPr>
          <w:rFonts w:eastAsia="Arial"/>
        </w:rPr>
        <w:t>All Tier 1 vendor agreements must include the following provisions:</w:t>
      </w:r>
    </w:p>
    <w:p w14:paraId="325A5493" w14:textId="77777777" w:rsidR="0051384D" w:rsidRDefault="00000000">
      <w:pPr>
        <w:pStyle w:val="a4"/>
        <w:numPr>
          <w:ilvl w:val="0"/>
          <w:numId w:val="2"/>
        </w:numPr>
        <w:spacing w:after="80"/>
      </w:pPr>
      <w:r>
        <w:rPr>
          <w:rFonts w:eastAsia="Arial"/>
        </w:rPr>
        <w:t>Data Processing Agreement (DPA): Compliance with Australian Privacy Principles; restrictions on secondary use of ELRC data; data deletion obligations on termination.</w:t>
      </w:r>
    </w:p>
    <w:p w14:paraId="4E6B62EB" w14:textId="77777777" w:rsidR="0051384D" w:rsidRDefault="00000000">
      <w:pPr>
        <w:pStyle w:val="a4"/>
        <w:numPr>
          <w:ilvl w:val="0"/>
          <w:numId w:val="2"/>
        </w:numPr>
        <w:spacing w:after="80"/>
      </w:pPr>
      <w:r>
        <w:rPr>
          <w:rFonts w:eastAsia="Arial"/>
        </w:rPr>
        <w:lastRenderedPageBreak/>
        <w:t>Security standards: Commitment to maintain encryption in transit and at rest; notification of security incidents within 72 hours.</w:t>
      </w:r>
    </w:p>
    <w:p w14:paraId="08BEB135" w14:textId="77777777" w:rsidR="0051384D" w:rsidRDefault="00000000">
      <w:pPr>
        <w:pStyle w:val="a4"/>
        <w:numPr>
          <w:ilvl w:val="0"/>
          <w:numId w:val="2"/>
        </w:numPr>
        <w:spacing w:after="80"/>
      </w:pPr>
      <w:r>
        <w:rPr>
          <w:rFonts w:eastAsia="Arial"/>
        </w:rPr>
        <w:t>Right to audit: ELRC or its appointed auditor reserves the right to conduct an audit of the vendor's compliance controls with reasonable notice.</w:t>
      </w:r>
    </w:p>
    <w:p w14:paraId="16A0FDF2" w14:textId="77777777" w:rsidR="0051384D" w:rsidRDefault="00000000">
      <w:pPr>
        <w:pStyle w:val="a4"/>
        <w:numPr>
          <w:ilvl w:val="0"/>
          <w:numId w:val="2"/>
        </w:numPr>
        <w:spacing w:after="80"/>
      </w:pPr>
      <w:r>
        <w:rPr>
          <w:rFonts w:eastAsia="Arial"/>
        </w:rPr>
        <w:t>Regulatory cooperation: Vendor must cooperate with AUSTRAC or other regulatory authority requests relating to ELRC's compliance activities.</w:t>
      </w:r>
    </w:p>
    <w:p w14:paraId="393AEF87" w14:textId="77777777" w:rsidR="0051384D" w:rsidRDefault="00000000">
      <w:pPr>
        <w:pStyle w:val="a4"/>
        <w:numPr>
          <w:ilvl w:val="0"/>
          <w:numId w:val="2"/>
        </w:numPr>
        <w:spacing w:after="80"/>
      </w:pPr>
      <w:r>
        <w:rPr>
          <w:rFonts w:eastAsia="Arial"/>
        </w:rPr>
        <w:t>Sub-processor disclosure: Vendor must disclose all sub-processors and obtain ELRC's approval before engaging new sub-processors who will access ELRC client data.</w:t>
      </w:r>
    </w:p>
    <w:p w14:paraId="2503D3E1" w14:textId="77777777" w:rsidR="0051384D" w:rsidRDefault="00000000">
      <w:pPr>
        <w:pStyle w:val="a4"/>
        <w:numPr>
          <w:ilvl w:val="0"/>
          <w:numId w:val="2"/>
        </w:numPr>
        <w:spacing w:after="80"/>
      </w:pPr>
      <w:r>
        <w:rPr>
          <w:rFonts w:eastAsia="Arial"/>
        </w:rPr>
        <w:t>Termination and data return: Vendor must return or destroy all ELRC data within 30 days of termination; provide written certification of data destruction.</w:t>
      </w:r>
    </w:p>
    <w:p w14:paraId="1EE41D4E" w14:textId="77777777" w:rsidR="0051384D" w:rsidRDefault="00000000">
      <w:pPr>
        <w:pStyle w:val="a4"/>
        <w:numPr>
          <w:ilvl w:val="0"/>
          <w:numId w:val="2"/>
        </w:numPr>
        <w:spacing w:after="80"/>
      </w:pPr>
      <w:r>
        <w:rPr>
          <w:rFonts w:eastAsia="Arial"/>
        </w:rPr>
        <w:t>SLAs: Service level agreements must specify uptime guarantees, screening response times, and escalation procedures.</w:t>
      </w:r>
    </w:p>
    <w:p w14:paraId="30450683" w14:textId="77777777" w:rsidR="0051384D" w:rsidRDefault="00000000">
      <w:pPr>
        <w:pStyle w:val="1"/>
        <w:shd w:val="clear" w:color="auto" w:fill="1F4E79"/>
        <w:ind w:left="180"/>
      </w:pPr>
      <w:r>
        <w:t>4.  Current Tier 1 Vendor Register</w:t>
      </w:r>
    </w:p>
    <w:p w14:paraId="6317ACE0" w14:textId="77777777" w:rsidR="0051384D" w:rsidRDefault="00000000">
      <w:pPr>
        <w:pStyle w:val="2"/>
        <w:pBdr>
          <w:bottom w:val="single" w:sz="4" w:space="4" w:color="2E75B6"/>
        </w:pBdr>
      </w:pPr>
      <w:proofErr w:type="gramStart"/>
      <w:r>
        <w:t>4.1  AML</w:t>
      </w:r>
      <w:proofErr w:type="gramEnd"/>
      <w:r>
        <w:t>/CTF Screening Tool Provider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51384D" w14:paraId="2761E414" w14:textId="77777777">
        <w:trPr>
          <w:tblHeader/>
        </w:trPr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E4FECB0" w14:textId="77777777" w:rsidR="0051384D" w:rsidRDefault="00000000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Field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B37D135" w14:textId="77777777" w:rsidR="0051384D" w:rsidRDefault="00000000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Detail</w:t>
            </w:r>
          </w:p>
        </w:tc>
      </w:tr>
      <w:tr w:rsidR="0051384D" w14:paraId="5EAC7B17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779679" w14:textId="77777777" w:rsidR="0051384D" w:rsidRDefault="00000000">
            <w:r>
              <w:rPr>
                <w:rFonts w:eastAsia="Arial"/>
                <w:color w:val="000000"/>
                <w:sz w:val="19"/>
                <w:szCs w:val="19"/>
              </w:rPr>
              <w:t>Vendor Name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D49D8A" w14:textId="69CFEE20" w:rsidR="0051384D" w:rsidRDefault="00000000">
            <w:proofErr w:type="spellStart"/>
            <w:r>
              <w:rPr>
                <w:rFonts w:eastAsia="Arial"/>
                <w:color w:val="000000"/>
                <w:sz w:val="19"/>
                <w:szCs w:val="19"/>
              </w:rPr>
              <w:t>ComplyAdvantage</w:t>
            </w:r>
            <w:proofErr w:type="spellEnd"/>
            <w:r>
              <w:rPr>
                <w:rFonts w:eastAsia="Arial"/>
                <w:color w:val="000000"/>
                <w:sz w:val="19"/>
                <w:szCs w:val="19"/>
              </w:rPr>
              <w:t xml:space="preserve"> </w:t>
            </w:r>
          </w:p>
        </w:tc>
      </w:tr>
      <w:tr w:rsidR="0051384D" w14:paraId="66FE1D41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FB17E5" w14:textId="77777777" w:rsidR="0051384D" w:rsidRDefault="00000000">
            <w:r>
              <w:rPr>
                <w:rFonts w:eastAsia="Arial"/>
                <w:color w:val="000000"/>
                <w:sz w:val="19"/>
                <w:szCs w:val="19"/>
              </w:rPr>
              <w:t>Service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D06D4E" w14:textId="77777777" w:rsidR="0051384D" w:rsidRDefault="00000000">
            <w:r>
              <w:rPr>
                <w:rFonts w:eastAsia="Arial"/>
                <w:color w:val="000000"/>
                <w:sz w:val="19"/>
                <w:szCs w:val="19"/>
              </w:rPr>
              <w:t>Automated sanctions screening, PEP screening, adverse media monitoring</w:t>
            </w:r>
          </w:p>
        </w:tc>
      </w:tr>
      <w:tr w:rsidR="0051384D" w14:paraId="7A295375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B5313D" w14:textId="77777777" w:rsidR="0051384D" w:rsidRDefault="00000000">
            <w:r>
              <w:rPr>
                <w:rFonts w:eastAsia="Arial"/>
                <w:color w:val="000000"/>
                <w:sz w:val="19"/>
                <w:szCs w:val="19"/>
              </w:rPr>
              <w:t>Tier Classification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2EB6D7" w14:textId="77777777" w:rsidR="0051384D" w:rsidRDefault="00000000">
            <w:r>
              <w:rPr>
                <w:rFonts w:eastAsia="Arial"/>
                <w:color w:val="000000"/>
                <w:sz w:val="19"/>
                <w:szCs w:val="19"/>
              </w:rPr>
              <w:t>Tier 1 — Critical</w:t>
            </w:r>
          </w:p>
        </w:tc>
      </w:tr>
      <w:tr w:rsidR="0051384D" w14:paraId="4C7C0533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73AB5D" w14:textId="77777777" w:rsidR="0051384D" w:rsidRDefault="00000000">
            <w:r>
              <w:rPr>
                <w:rFonts w:eastAsia="Arial"/>
                <w:color w:val="000000"/>
                <w:sz w:val="19"/>
                <w:szCs w:val="19"/>
              </w:rPr>
              <w:t>Contract Type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81CC00" w14:textId="77777777" w:rsidR="0051384D" w:rsidRDefault="00000000">
            <w:r>
              <w:rPr>
                <w:rFonts w:eastAsia="Arial"/>
                <w:color w:val="000000"/>
                <w:sz w:val="19"/>
                <w:szCs w:val="19"/>
              </w:rPr>
              <w:t>Master Service Agreement (MSA) + Data Processing Agreement</w:t>
            </w:r>
          </w:p>
        </w:tc>
      </w:tr>
      <w:tr w:rsidR="0051384D" w14:paraId="04FA3A5F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E05044" w14:textId="77777777" w:rsidR="0051384D" w:rsidRDefault="00000000">
            <w:r>
              <w:rPr>
                <w:rFonts w:eastAsia="Arial"/>
                <w:color w:val="000000"/>
                <w:sz w:val="19"/>
                <w:szCs w:val="19"/>
              </w:rPr>
              <w:t>Contract Effective Date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741944" w14:textId="0F7287CF" w:rsidR="0051384D" w:rsidRDefault="00000000">
            <w:r>
              <w:rPr>
                <w:rFonts w:eastAsia="Arial"/>
                <w:color w:val="000000"/>
                <w:sz w:val="19"/>
                <w:szCs w:val="19"/>
              </w:rPr>
              <w:t>[</w:t>
            </w:r>
            <w:r w:rsidR="00025501">
              <w:rPr>
                <w:rFonts w:eastAsia="Arial"/>
                <w:color w:val="000000"/>
                <w:sz w:val="19"/>
                <w:szCs w:val="19"/>
              </w:rPr>
              <w:t>01/04/2026</w:t>
            </w:r>
            <w:r>
              <w:rPr>
                <w:rFonts w:eastAsia="Arial"/>
                <w:color w:val="000000"/>
                <w:sz w:val="19"/>
                <w:szCs w:val="19"/>
              </w:rPr>
              <w:t>]</w:t>
            </w:r>
          </w:p>
        </w:tc>
      </w:tr>
      <w:tr w:rsidR="0051384D" w14:paraId="77FD99E7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9DFADF" w14:textId="77777777" w:rsidR="0051384D" w:rsidRDefault="00000000">
            <w:r>
              <w:rPr>
                <w:rFonts w:eastAsia="Arial"/>
                <w:color w:val="000000"/>
                <w:sz w:val="19"/>
                <w:szCs w:val="19"/>
              </w:rPr>
              <w:t>Contract Expiry / Review Date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AE04DE" w14:textId="09D80E6E" w:rsidR="0051384D" w:rsidRDefault="00000000">
            <w:r>
              <w:rPr>
                <w:rFonts w:eastAsia="Arial"/>
                <w:color w:val="000000"/>
                <w:sz w:val="19"/>
                <w:szCs w:val="19"/>
              </w:rPr>
              <w:t>[</w:t>
            </w:r>
            <w:r w:rsidR="00025501">
              <w:rPr>
                <w:rFonts w:eastAsia="Arial"/>
                <w:color w:val="000000"/>
                <w:sz w:val="19"/>
                <w:szCs w:val="19"/>
              </w:rPr>
              <w:t>01/04/2027</w:t>
            </w:r>
            <w:r>
              <w:rPr>
                <w:rFonts w:eastAsia="Arial"/>
                <w:color w:val="000000"/>
                <w:sz w:val="19"/>
                <w:szCs w:val="19"/>
              </w:rPr>
              <w:t>]</w:t>
            </w:r>
          </w:p>
        </w:tc>
      </w:tr>
      <w:tr w:rsidR="0051384D" w14:paraId="281FA3FD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062A47" w14:textId="77777777" w:rsidR="0051384D" w:rsidRDefault="00000000">
            <w:r>
              <w:rPr>
                <w:rFonts w:eastAsia="Arial"/>
                <w:color w:val="000000"/>
                <w:sz w:val="19"/>
                <w:szCs w:val="19"/>
              </w:rPr>
              <w:t>Screening Lists Covered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90CD45" w14:textId="77777777" w:rsidR="0051384D" w:rsidRDefault="00000000">
            <w:r>
              <w:rPr>
                <w:rFonts w:eastAsia="Arial"/>
                <w:color w:val="000000"/>
                <w:sz w:val="19"/>
                <w:szCs w:val="19"/>
              </w:rPr>
              <w:t>DFAT, OFAC, UN, EU, HMT, 1,100+ global lists, PEP databases, adverse media</w:t>
            </w:r>
          </w:p>
        </w:tc>
      </w:tr>
      <w:tr w:rsidR="0051384D" w14:paraId="41340D1D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E2E52B" w14:textId="77777777" w:rsidR="0051384D" w:rsidRDefault="00000000">
            <w:r>
              <w:rPr>
                <w:rFonts w:eastAsia="Arial"/>
                <w:color w:val="000000"/>
                <w:sz w:val="19"/>
                <w:szCs w:val="19"/>
              </w:rPr>
              <w:t>Data Hosting Location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7E8EAA" w14:textId="2CAFD94E" w:rsidR="0051384D" w:rsidRDefault="00056978">
            <w:r w:rsidRPr="00056978">
              <w:rPr>
                <w:rFonts w:eastAsia="Arial"/>
                <w:color w:val="000000"/>
                <w:sz w:val="19"/>
                <w:szCs w:val="19"/>
              </w:rPr>
              <w:t>United Kingdom / EU (</w:t>
            </w:r>
            <w:proofErr w:type="spellStart"/>
            <w:r w:rsidRPr="00056978">
              <w:rPr>
                <w:rFonts w:eastAsia="Arial"/>
                <w:color w:val="000000"/>
                <w:sz w:val="19"/>
                <w:szCs w:val="19"/>
              </w:rPr>
              <w:t>ComplyAdvantage</w:t>
            </w:r>
            <w:proofErr w:type="spellEnd"/>
            <w:r w:rsidRPr="00056978">
              <w:rPr>
                <w:rFonts w:eastAsia="Arial"/>
                <w:color w:val="000000"/>
                <w:sz w:val="19"/>
                <w:szCs w:val="19"/>
              </w:rPr>
              <w:t xml:space="preserve"> primary data </w:t>
            </w:r>
            <w:proofErr w:type="spellStart"/>
            <w:r w:rsidRPr="00056978">
              <w:rPr>
                <w:rFonts w:eastAsia="Arial"/>
                <w:color w:val="000000"/>
                <w:sz w:val="19"/>
                <w:szCs w:val="19"/>
              </w:rPr>
              <w:t>centres</w:t>
            </w:r>
            <w:proofErr w:type="spellEnd"/>
            <w:r w:rsidRPr="00056978">
              <w:rPr>
                <w:rFonts w:eastAsia="Arial"/>
                <w:color w:val="000000"/>
                <w:sz w:val="19"/>
                <w:szCs w:val="19"/>
              </w:rPr>
              <w:t>). Data Processing Agreement in place; compliant with Australian Privacy Principles for overseas disclosure under Privacy Act 1988 (</w:t>
            </w:r>
            <w:proofErr w:type="spellStart"/>
            <w:r w:rsidRPr="00056978">
              <w:rPr>
                <w:rFonts w:eastAsia="Arial"/>
                <w:color w:val="000000"/>
                <w:sz w:val="19"/>
                <w:szCs w:val="19"/>
              </w:rPr>
              <w:t>Cth</w:t>
            </w:r>
            <w:proofErr w:type="spellEnd"/>
            <w:r w:rsidRPr="00056978">
              <w:rPr>
                <w:rFonts w:eastAsia="Arial"/>
                <w:color w:val="000000"/>
                <w:sz w:val="19"/>
                <w:szCs w:val="19"/>
              </w:rPr>
              <w:t>).</w:t>
            </w:r>
          </w:p>
        </w:tc>
      </w:tr>
      <w:tr w:rsidR="0051384D" w14:paraId="695E3D97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E7E708" w14:textId="77777777" w:rsidR="0051384D" w:rsidRDefault="00000000">
            <w:bookmarkStart w:id="0" w:name="_Hlk224634577"/>
            <w:r>
              <w:rPr>
                <w:rFonts w:eastAsia="Arial"/>
                <w:color w:val="000000"/>
                <w:sz w:val="19"/>
                <w:szCs w:val="19"/>
              </w:rPr>
              <w:t>Security Certification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96DB0C" w14:textId="21A9A6FC" w:rsidR="0051384D" w:rsidRDefault="00025501">
            <w:r w:rsidRPr="00025501">
              <w:rPr>
                <w:rFonts w:eastAsia="Arial"/>
                <w:color w:val="000000"/>
                <w:sz w:val="19"/>
                <w:szCs w:val="19"/>
              </w:rPr>
              <w:t>ISO 27001:2013 — Certified by BSI (British Standards Institution)</w:t>
            </w:r>
          </w:p>
        </w:tc>
      </w:tr>
      <w:bookmarkEnd w:id="0"/>
      <w:tr w:rsidR="0051384D" w14:paraId="2D00344F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6DA8B7" w14:textId="77777777" w:rsidR="0051384D" w:rsidRDefault="00000000">
            <w:r>
              <w:rPr>
                <w:rFonts w:eastAsia="Arial"/>
                <w:color w:val="000000"/>
                <w:sz w:val="19"/>
                <w:szCs w:val="19"/>
              </w:rPr>
              <w:t>Incident Notification Clause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EE4CAD" w14:textId="77777777" w:rsidR="0051384D" w:rsidRDefault="00000000">
            <w:r>
              <w:rPr>
                <w:rFonts w:eastAsia="Arial"/>
                <w:color w:val="000000"/>
                <w:sz w:val="19"/>
                <w:szCs w:val="19"/>
              </w:rPr>
              <w:t>Yes — within 72 hours of security incident</w:t>
            </w:r>
          </w:p>
        </w:tc>
      </w:tr>
      <w:tr w:rsidR="0051384D" w14:paraId="21D2BB87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E37BA9" w14:textId="77777777" w:rsidR="0051384D" w:rsidRDefault="00000000">
            <w:r>
              <w:rPr>
                <w:rFonts w:eastAsia="Arial"/>
                <w:color w:val="000000"/>
                <w:sz w:val="19"/>
                <w:szCs w:val="19"/>
              </w:rPr>
              <w:t>Right to Audit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0BEEBD" w14:textId="77777777" w:rsidR="0051384D" w:rsidRDefault="00000000">
            <w:r>
              <w:rPr>
                <w:rFonts w:eastAsia="Arial"/>
                <w:color w:val="000000"/>
                <w:sz w:val="19"/>
                <w:szCs w:val="19"/>
              </w:rPr>
              <w:t>Yes — with 10 business days written notice</w:t>
            </w:r>
          </w:p>
        </w:tc>
      </w:tr>
      <w:tr w:rsidR="0051384D" w14:paraId="4B4F0BD3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70EEFB" w14:textId="77777777" w:rsidR="0051384D" w:rsidRDefault="00000000">
            <w:r>
              <w:rPr>
                <w:rFonts w:eastAsia="Arial"/>
                <w:color w:val="000000"/>
                <w:sz w:val="19"/>
                <w:szCs w:val="19"/>
              </w:rPr>
              <w:t>Last Due Diligence Review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8CCADC" w14:textId="1B0730D7" w:rsidR="0051384D" w:rsidRDefault="00000000">
            <w:r>
              <w:rPr>
                <w:rFonts w:eastAsia="Arial"/>
                <w:color w:val="000000"/>
                <w:sz w:val="19"/>
                <w:szCs w:val="19"/>
              </w:rPr>
              <w:t>[</w:t>
            </w:r>
            <w:r w:rsidR="00025501">
              <w:rPr>
                <w:rFonts w:eastAsia="Arial"/>
                <w:color w:val="000000"/>
                <w:sz w:val="19"/>
                <w:szCs w:val="19"/>
              </w:rPr>
              <w:t>Nil</w:t>
            </w:r>
            <w:r>
              <w:rPr>
                <w:rFonts w:eastAsia="Arial"/>
                <w:color w:val="000000"/>
                <w:sz w:val="19"/>
                <w:szCs w:val="19"/>
              </w:rPr>
              <w:t>]</w:t>
            </w:r>
          </w:p>
        </w:tc>
      </w:tr>
      <w:tr w:rsidR="0051384D" w14:paraId="1EFF9A56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857672" w14:textId="77777777" w:rsidR="0051384D" w:rsidRDefault="00000000">
            <w:r>
              <w:rPr>
                <w:rFonts w:eastAsia="Arial"/>
                <w:color w:val="000000"/>
                <w:sz w:val="19"/>
                <w:szCs w:val="19"/>
              </w:rPr>
              <w:t>Next Due Diligence Review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1DB041" w14:textId="58CE5634" w:rsidR="0051384D" w:rsidRDefault="00000000">
            <w:r>
              <w:rPr>
                <w:rFonts w:eastAsia="Arial"/>
                <w:color w:val="000000"/>
                <w:sz w:val="19"/>
                <w:szCs w:val="19"/>
              </w:rPr>
              <w:t>[</w:t>
            </w:r>
            <w:r w:rsidR="00025501">
              <w:rPr>
                <w:rFonts w:eastAsia="Arial"/>
                <w:color w:val="000000"/>
                <w:sz w:val="19"/>
                <w:szCs w:val="19"/>
              </w:rPr>
              <w:t>30/06/2026</w:t>
            </w:r>
            <w:r>
              <w:rPr>
                <w:rFonts w:eastAsia="Arial"/>
                <w:color w:val="000000"/>
                <w:sz w:val="19"/>
                <w:szCs w:val="19"/>
              </w:rPr>
              <w:t>]</w:t>
            </w:r>
          </w:p>
        </w:tc>
      </w:tr>
      <w:tr w:rsidR="0051384D" w14:paraId="66B873F6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D09E39" w14:textId="77777777" w:rsidR="0051384D" w:rsidRDefault="00000000">
            <w:r>
              <w:rPr>
                <w:rFonts w:eastAsia="Arial"/>
                <w:color w:val="000000"/>
                <w:sz w:val="19"/>
                <w:szCs w:val="19"/>
              </w:rPr>
              <w:t>Responsible Officer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52C766" w14:textId="77777777" w:rsidR="0051384D" w:rsidRDefault="00000000">
            <w:r>
              <w:rPr>
                <w:rFonts w:eastAsia="Arial"/>
                <w:color w:val="000000"/>
                <w:sz w:val="19"/>
                <w:szCs w:val="19"/>
              </w:rPr>
              <w:t>Compliance Officer</w:t>
            </w:r>
          </w:p>
        </w:tc>
      </w:tr>
    </w:tbl>
    <w:p w14:paraId="4D459163" w14:textId="77777777" w:rsidR="0051384D" w:rsidRDefault="0051384D">
      <w:pPr>
        <w:spacing w:after="160"/>
      </w:pPr>
    </w:p>
    <w:p w14:paraId="00E767D3" w14:textId="77777777" w:rsidR="0051384D" w:rsidRDefault="00000000">
      <w:pPr>
        <w:pStyle w:val="2"/>
        <w:pBdr>
          <w:bottom w:val="single" w:sz="4" w:space="4" w:color="2E75B6"/>
        </w:pBdr>
      </w:pPr>
      <w:proofErr w:type="gramStart"/>
      <w:r>
        <w:t>4.2  Primary</w:t>
      </w:r>
      <w:proofErr w:type="gramEnd"/>
      <w:r>
        <w:t xml:space="preserve"> Banking Relationship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51384D" w14:paraId="25CF14E5" w14:textId="77777777">
        <w:trPr>
          <w:tblHeader/>
        </w:trPr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886A97F" w14:textId="77777777" w:rsidR="0051384D" w:rsidRDefault="00000000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Field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1214E8B" w14:textId="77777777" w:rsidR="0051384D" w:rsidRDefault="00000000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Detail</w:t>
            </w:r>
          </w:p>
        </w:tc>
      </w:tr>
      <w:tr w:rsidR="0051384D" w14:paraId="425EBE17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616C56" w14:textId="77777777" w:rsidR="0051384D" w:rsidRDefault="00000000">
            <w:r>
              <w:rPr>
                <w:rFonts w:eastAsia="Arial"/>
                <w:color w:val="000000"/>
                <w:sz w:val="19"/>
                <w:szCs w:val="19"/>
              </w:rPr>
              <w:t>Bank Name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85DC3B" w14:textId="7253C51C" w:rsidR="0051384D" w:rsidRDefault="00000000">
            <w:r>
              <w:rPr>
                <w:rFonts w:eastAsia="Arial"/>
                <w:color w:val="000000"/>
                <w:sz w:val="19"/>
                <w:szCs w:val="19"/>
              </w:rPr>
              <w:t>[NAB]</w:t>
            </w:r>
          </w:p>
        </w:tc>
      </w:tr>
      <w:tr w:rsidR="0051384D" w14:paraId="086EA0AC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AF5F88" w14:textId="77777777" w:rsidR="0051384D" w:rsidRDefault="00000000">
            <w:r>
              <w:rPr>
                <w:rFonts w:eastAsia="Arial"/>
                <w:color w:val="000000"/>
                <w:sz w:val="19"/>
                <w:szCs w:val="19"/>
              </w:rPr>
              <w:t>Account Type(s)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F0C2D1" w14:textId="4CFA581F" w:rsidR="0051384D" w:rsidRDefault="00000000">
            <w:r>
              <w:rPr>
                <w:rFonts w:eastAsia="Arial"/>
                <w:color w:val="000000"/>
                <w:sz w:val="19"/>
                <w:szCs w:val="19"/>
              </w:rPr>
              <w:t>[Business Transaction Account]</w:t>
            </w:r>
          </w:p>
        </w:tc>
      </w:tr>
      <w:tr w:rsidR="0051384D" w14:paraId="621E4AA3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16AAAC" w14:textId="77777777" w:rsidR="0051384D" w:rsidRDefault="00000000">
            <w:r>
              <w:rPr>
                <w:rFonts w:eastAsia="Arial"/>
                <w:color w:val="000000"/>
                <w:sz w:val="19"/>
                <w:szCs w:val="19"/>
              </w:rPr>
              <w:t>BSB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9E4733" w14:textId="49EBF06C" w:rsidR="0051384D" w:rsidRDefault="00000000">
            <w:r>
              <w:rPr>
                <w:rFonts w:eastAsia="Arial"/>
                <w:color w:val="000000"/>
                <w:sz w:val="19"/>
                <w:szCs w:val="19"/>
              </w:rPr>
              <w:t>[</w:t>
            </w:r>
            <w:r w:rsidR="00025501">
              <w:rPr>
                <w:rFonts w:eastAsia="Arial"/>
                <w:color w:val="000000"/>
                <w:sz w:val="19"/>
                <w:szCs w:val="19"/>
              </w:rPr>
              <w:t>083-004</w:t>
            </w:r>
            <w:r>
              <w:rPr>
                <w:rFonts w:eastAsia="Arial"/>
                <w:color w:val="000000"/>
                <w:sz w:val="19"/>
                <w:szCs w:val="19"/>
              </w:rPr>
              <w:t>]</w:t>
            </w:r>
          </w:p>
        </w:tc>
      </w:tr>
      <w:tr w:rsidR="0051384D" w14:paraId="02A16DE3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224A9F" w14:textId="77777777" w:rsidR="0051384D" w:rsidRDefault="00000000">
            <w:r>
              <w:rPr>
                <w:rFonts w:eastAsia="Arial"/>
                <w:color w:val="000000"/>
                <w:sz w:val="19"/>
                <w:szCs w:val="19"/>
              </w:rPr>
              <w:lastRenderedPageBreak/>
              <w:t>Account Number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9595D2" w14:textId="153E7B64" w:rsidR="0051384D" w:rsidRDefault="00000000">
            <w:r>
              <w:rPr>
                <w:rFonts w:eastAsia="Arial"/>
                <w:color w:val="000000"/>
                <w:sz w:val="19"/>
                <w:szCs w:val="19"/>
              </w:rPr>
              <w:t>[</w:t>
            </w:r>
            <w:r w:rsidR="00025501">
              <w:rPr>
                <w:rFonts w:eastAsia="Arial"/>
                <w:color w:val="000000"/>
                <w:sz w:val="19"/>
                <w:szCs w:val="19"/>
              </w:rPr>
              <w:t>42-221-0892</w:t>
            </w:r>
            <w:r>
              <w:rPr>
                <w:rFonts w:eastAsia="Arial"/>
                <w:color w:val="000000"/>
                <w:sz w:val="19"/>
                <w:szCs w:val="19"/>
              </w:rPr>
              <w:t>]</w:t>
            </w:r>
          </w:p>
        </w:tc>
      </w:tr>
    </w:tbl>
    <w:p w14:paraId="7383CC8D" w14:textId="77777777" w:rsidR="0051384D" w:rsidRPr="00025501" w:rsidRDefault="0051384D">
      <w:pPr>
        <w:spacing w:after="200"/>
        <w:rPr>
          <w:lang w:val="en-AU"/>
        </w:rPr>
      </w:pPr>
    </w:p>
    <w:p w14:paraId="224B24C7" w14:textId="77777777" w:rsidR="0051384D" w:rsidRDefault="00000000">
      <w:pPr>
        <w:pStyle w:val="1"/>
        <w:shd w:val="clear" w:color="auto" w:fill="1F4E79"/>
        <w:ind w:left="180"/>
      </w:pPr>
      <w:r>
        <w:t>5.  Ongoing Vendor Monitoring</w:t>
      </w:r>
    </w:p>
    <w:p w14:paraId="37CE9AD2" w14:textId="77777777" w:rsidR="0051384D" w:rsidRDefault="00000000">
      <w:pPr>
        <w:pStyle w:val="a4"/>
        <w:numPr>
          <w:ilvl w:val="0"/>
          <w:numId w:val="2"/>
        </w:numPr>
        <w:spacing w:after="80"/>
      </w:pPr>
      <w:r>
        <w:rPr>
          <w:rFonts w:eastAsia="Arial"/>
        </w:rPr>
        <w:t>All Tier 1 vendors are subject to annual due diligence review. Material changes to vendors' security posture, regulatory status, or financial health trigger an immediate ad-hoc review.</w:t>
      </w:r>
    </w:p>
    <w:p w14:paraId="0C162A6E" w14:textId="77777777" w:rsidR="0051384D" w:rsidRDefault="00000000">
      <w:pPr>
        <w:pStyle w:val="a4"/>
        <w:numPr>
          <w:ilvl w:val="0"/>
          <w:numId w:val="2"/>
        </w:numPr>
        <w:spacing w:after="80"/>
      </w:pPr>
      <w:r>
        <w:rPr>
          <w:rFonts w:eastAsia="Arial"/>
        </w:rPr>
        <w:t>Vendor performance against SLAs is reviewed quarterly by the Compliance Officer.</w:t>
      </w:r>
    </w:p>
    <w:p w14:paraId="49668405" w14:textId="77777777" w:rsidR="0051384D" w:rsidRDefault="00000000">
      <w:pPr>
        <w:pStyle w:val="a4"/>
        <w:numPr>
          <w:ilvl w:val="0"/>
          <w:numId w:val="2"/>
        </w:numPr>
        <w:spacing w:after="80"/>
      </w:pPr>
      <w:r>
        <w:rPr>
          <w:rFonts w:eastAsia="Arial"/>
        </w:rPr>
        <w:t>Any vendor security incident notification triggers immediate escalation to the Compliance Officer and an impact assessment.</w:t>
      </w:r>
    </w:p>
    <w:p w14:paraId="7CE38748" w14:textId="0BCF293B" w:rsidR="0051384D" w:rsidRDefault="00000000">
      <w:pPr>
        <w:pStyle w:val="a4"/>
        <w:numPr>
          <w:ilvl w:val="0"/>
          <w:numId w:val="2"/>
        </w:numPr>
        <w:spacing w:after="80"/>
      </w:pPr>
      <w:r>
        <w:rPr>
          <w:rFonts w:eastAsia="Arial"/>
        </w:rPr>
        <w:t xml:space="preserve">Vendor sanctions screening: All Tier 1 vendors (entity + key identified personnel) are re-screened through </w:t>
      </w:r>
      <w:proofErr w:type="spellStart"/>
      <w:r>
        <w:rPr>
          <w:rFonts w:eastAsia="Arial"/>
        </w:rPr>
        <w:t>ComplyAdvantage</w:t>
      </w:r>
      <w:proofErr w:type="spellEnd"/>
      <w:r>
        <w:rPr>
          <w:rFonts w:eastAsia="Arial"/>
        </w:rPr>
        <w:t xml:space="preserve"> annually and upon any change in vendor ownership or key personnel.</w:t>
      </w:r>
    </w:p>
    <w:p w14:paraId="3FC9E2B2" w14:textId="77777777" w:rsidR="0051384D" w:rsidRDefault="00000000">
      <w:pPr>
        <w:pStyle w:val="a4"/>
        <w:numPr>
          <w:ilvl w:val="0"/>
          <w:numId w:val="2"/>
        </w:numPr>
        <w:spacing w:after="80"/>
      </w:pPr>
      <w:r>
        <w:rPr>
          <w:rFonts w:eastAsia="Arial"/>
        </w:rPr>
        <w:t>Vendor termination: If a Tier 1 vendor fails to meet security, compliance, or performance standards, the Compliance Officer prepares a vendor termination recommendation for Senior Management approval. A 90-day transition period is planned for Tier 1 replacements.</w:t>
      </w:r>
    </w:p>
    <w:p w14:paraId="3F0AA526" w14:textId="77777777" w:rsidR="0051384D" w:rsidRDefault="00000000">
      <w:pPr>
        <w:pStyle w:val="1"/>
        <w:shd w:val="clear" w:color="auto" w:fill="1F4E79"/>
        <w:ind w:left="180"/>
      </w:pPr>
      <w:r>
        <w:t>6.  Document Control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0"/>
        <w:gridCol w:w="2400"/>
        <w:gridCol w:w="2160"/>
        <w:gridCol w:w="3400"/>
      </w:tblGrid>
      <w:tr w:rsidR="0051384D" w14:paraId="69837CA1" w14:textId="77777777">
        <w:trPr>
          <w:tblHeader/>
        </w:trPr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66E7E85" w14:textId="77777777" w:rsidR="0051384D" w:rsidRDefault="00000000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Version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7F87462" w14:textId="77777777" w:rsidR="0051384D" w:rsidRDefault="00000000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Date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19592B2" w14:textId="77777777" w:rsidR="0051384D" w:rsidRDefault="00000000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Approved By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22967E4" w14:textId="77777777" w:rsidR="0051384D" w:rsidRDefault="00000000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Summary</w:t>
            </w:r>
          </w:p>
        </w:tc>
      </w:tr>
      <w:tr w:rsidR="0051384D" w14:paraId="34C8427A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5119E1" w14:textId="77777777" w:rsidR="0051384D" w:rsidRDefault="00000000">
            <w:r>
              <w:rPr>
                <w:rFonts w:eastAsia="Arial"/>
                <w:color w:val="000000"/>
                <w:sz w:val="19"/>
                <w:szCs w:val="19"/>
              </w:rPr>
              <w:t>1.0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5AD46E" w14:textId="77777777" w:rsidR="0051384D" w:rsidRDefault="00000000">
            <w:r>
              <w:rPr>
                <w:rFonts w:eastAsia="Arial"/>
                <w:color w:val="000000"/>
                <w:sz w:val="19"/>
                <w:szCs w:val="19"/>
              </w:rPr>
              <w:t>01 February 2026</w:t>
            </w:r>
          </w:p>
        </w:tc>
        <w:tc>
          <w:tcPr>
            <w:tcW w:w="2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947E5D" w14:textId="77777777" w:rsidR="0051384D" w:rsidRDefault="00000000">
            <w:r>
              <w:rPr>
                <w:rFonts w:eastAsia="Arial"/>
                <w:color w:val="000000"/>
                <w:sz w:val="19"/>
                <w:szCs w:val="19"/>
              </w:rPr>
              <w:t>Compliance Officer</w:t>
            </w:r>
          </w:p>
        </w:tc>
        <w:tc>
          <w:tcPr>
            <w:tcW w:w="3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C0A008" w14:textId="77777777" w:rsidR="0051384D" w:rsidRDefault="00000000">
            <w:r>
              <w:rPr>
                <w:rFonts w:eastAsia="Arial"/>
                <w:color w:val="000000"/>
                <w:sz w:val="19"/>
                <w:szCs w:val="19"/>
              </w:rPr>
              <w:t>Initial issue</w:t>
            </w:r>
          </w:p>
        </w:tc>
      </w:tr>
    </w:tbl>
    <w:p w14:paraId="01AB07A2" w14:textId="77777777" w:rsidR="0020408A" w:rsidRDefault="0020408A"/>
    <w:sectPr w:rsidR="0020408A">
      <w:headerReference w:type="default" r:id="rId7"/>
      <w:footerReference w:type="default" r:id="rId8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CCBF7" w14:textId="77777777" w:rsidR="005D1EA8" w:rsidRDefault="005D1EA8">
      <w:r>
        <w:separator/>
      </w:r>
    </w:p>
  </w:endnote>
  <w:endnote w:type="continuationSeparator" w:id="0">
    <w:p w14:paraId="48B00FF8" w14:textId="77777777" w:rsidR="005D1EA8" w:rsidRDefault="005D1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6664D" w14:textId="77777777" w:rsidR="0051384D" w:rsidRDefault="00000000">
    <w:pPr>
      <w:pBdr>
        <w:top w:val="single" w:sz="4" w:space="4" w:color="2E75B6"/>
      </w:pBdr>
    </w:pPr>
    <w:r>
      <w:rPr>
        <w:rFonts w:eastAsia="Arial"/>
        <w:color w:val="595959"/>
        <w:sz w:val="18"/>
        <w:szCs w:val="18"/>
      </w:rPr>
      <w:t>ELRC-VMP-</w:t>
    </w:r>
    <w:proofErr w:type="gramStart"/>
    <w:r>
      <w:rPr>
        <w:rFonts w:eastAsia="Arial"/>
        <w:color w:val="595959"/>
        <w:sz w:val="18"/>
        <w:szCs w:val="18"/>
      </w:rPr>
      <w:t>001  |</w:t>
    </w:r>
    <w:proofErr w:type="gramEnd"/>
    <w:r>
      <w:rPr>
        <w:rFonts w:eastAsia="Arial"/>
        <w:color w:val="595959"/>
        <w:sz w:val="18"/>
        <w:szCs w:val="18"/>
      </w:rPr>
      <w:t xml:space="preserve">  Version </w:t>
    </w:r>
    <w:proofErr w:type="gramStart"/>
    <w:r>
      <w:rPr>
        <w:rFonts w:eastAsia="Arial"/>
        <w:color w:val="595959"/>
        <w:sz w:val="18"/>
        <w:szCs w:val="18"/>
      </w:rPr>
      <w:t>1.0  |</w:t>
    </w:r>
    <w:proofErr w:type="gramEnd"/>
    <w:r>
      <w:rPr>
        <w:rFonts w:eastAsia="Arial"/>
        <w:color w:val="595959"/>
        <w:sz w:val="18"/>
        <w:szCs w:val="18"/>
      </w:rPr>
      <w:t xml:space="preserve">  01 February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A70BF" w14:textId="77777777" w:rsidR="005D1EA8" w:rsidRDefault="005D1EA8">
      <w:r>
        <w:separator/>
      </w:r>
    </w:p>
  </w:footnote>
  <w:footnote w:type="continuationSeparator" w:id="0">
    <w:p w14:paraId="01BE0653" w14:textId="77777777" w:rsidR="005D1EA8" w:rsidRDefault="005D1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BDE5E" w14:textId="77777777" w:rsidR="0051384D" w:rsidRDefault="00000000">
    <w:pPr>
      <w:pBdr>
        <w:bottom w:val="single" w:sz="4" w:space="4" w:color="2E75B6"/>
      </w:pBdr>
      <w:tabs>
        <w:tab w:val="right" w:pos="9360"/>
      </w:tabs>
    </w:pPr>
    <w:r>
      <w:rPr>
        <w:rFonts w:eastAsia="Arial"/>
        <w:color w:val="595959"/>
        <w:sz w:val="18"/>
        <w:szCs w:val="18"/>
      </w:rPr>
      <w:t xml:space="preserve">ELRC TRADING PTY </w:t>
    </w:r>
    <w:proofErr w:type="gramStart"/>
    <w:r>
      <w:rPr>
        <w:rFonts w:eastAsia="Arial"/>
        <w:color w:val="595959"/>
        <w:sz w:val="18"/>
        <w:szCs w:val="18"/>
      </w:rPr>
      <w:t>LTD  |</w:t>
    </w:r>
    <w:proofErr w:type="gramEnd"/>
    <w:r>
      <w:rPr>
        <w:rFonts w:eastAsia="Arial"/>
        <w:color w:val="595959"/>
        <w:sz w:val="18"/>
        <w:szCs w:val="18"/>
      </w:rPr>
      <w:t xml:space="preserve">  Third-Party Vendor Management Policy</w:t>
    </w:r>
    <w:r>
      <w:rPr>
        <w:sz w:val="18"/>
        <w:szCs w:val="18"/>
      </w:rPr>
      <w:tab/>
    </w:r>
    <w:r>
      <w:rPr>
        <w:rFonts w:eastAsia="Arial"/>
        <w:b/>
        <w:bCs/>
        <w:color w:val="C00000"/>
        <w:sz w:val="18"/>
        <w:szCs w:val="18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B3E1A"/>
    <w:multiLevelType w:val="hybridMultilevel"/>
    <w:tmpl w:val="5AFE58EE"/>
    <w:lvl w:ilvl="0" w:tplc="107490DA">
      <w:start w:val="1"/>
      <w:numFmt w:val="bullet"/>
      <w:lvlText w:val="•"/>
      <w:lvlJc w:val="left"/>
      <w:pPr>
        <w:ind w:left="720" w:hanging="360"/>
      </w:pPr>
    </w:lvl>
    <w:lvl w:ilvl="1" w:tplc="9550AB8E">
      <w:start w:val="1"/>
      <w:numFmt w:val="bullet"/>
      <w:lvlText w:val="–"/>
      <w:lvlJc w:val="left"/>
      <w:pPr>
        <w:ind w:left="1080" w:hanging="360"/>
      </w:pPr>
    </w:lvl>
    <w:lvl w:ilvl="2" w:tplc="15E40DA6">
      <w:numFmt w:val="decimal"/>
      <w:lvlText w:val=""/>
      <w:lvlJc w:val="left"/>
    </w:lvl>
    <w:lvl w:ilvl="3" w:tplc="D9983D00">
      <w:numFmt w:val="decimal"/>
      <w:lvlText w:val=""/>
      <w:lvlJc w:val="left"/>
    </w:lvl>
    <w:lvl w:ilvl="4" w:tplc="B6902FBA">
      <w:numFmt w:val="decimal"/>
      <w:lvlText w:val=""/>
      <w:lvlJc w:val="left"/>
    </w:lvl>
    <w:lvl w:ilvl="5" w:tplc="6184A09C">
      <w:numFmt w:val="decimal"/>
      <w:lvlText w:val=""/>
      <w:lvlJc w:val="left"/>
    </w:lvl>
    <w:lvl w:ilvl="6" w:tplc="02721E40">
      <w:numFmt w:val="decimal"/>
      <w:lvlText w:val=""/>
      <w:lvlJc w:val="left"/>
    </w:lvl>
    <w:lvl w:ilvl="7" w:tplc="F1EEC054">
      <w:numFmt w:val="decimal"/>
      <w:lvlText w:val=""/>
      <w:lvlJc w:val="left"/>
    </w:lvl>
    <w:lvl w:ilvl="8" w:tplc="DEF60678">
      <w:numFmt w:val="decimal"/>
      <w:lvlText w:val=""/>
      <w:lvlJc w:val="left"/>
    </w:lvl>
  </w:abstractNum>
  <w:abstractNum w:abstractNumId="1" w15:restartNumberingAfterBreak="0">
    <w:nsid w:val="17D046F4"/>
    <w:multiLevelType w:val="hybridMultilevel"/>
    <w:tmpl w:val="85E29C42"/>
    <w:lvl w:ilvl="0" w:tplc="251C1D40">
      <w:start w:val="1"/>
      <w:numFmt w:val="bullet"/>
      <w:lvlText w:val="●"/>
      <w:lvlJc w:val="left"/>
      <w:pPr>
        <w:ind w:left="720" w:hanging="360"/>
      </w:pPr>
    </w:lvl>
    <w:lvl w:ilvl="1" w:tplc="65D28FB0">
      <w:start w:val="1"/>
      <w:numFmt w:val="bullet"/>
      <w:lvlText w:val="○"/>
      <w:lvlJc w:val="left"/>
      <w:pPr>
        <w:ind w:left="1440" w:hanging="360"/>
      </w:pPr>
    </w:lvl>
    <w:lvl w:ilvl="2" w:tplc="D06E8766">
      <w:start w:val="1"/>
      <w:numFmt w:val="bullet"/>
      <w:lvlText w:val="■"/>
      <w:lvlJc w:val="left"/>
      <w:pPr>
        <w:ind w:left="2160" w:hanging="360"/>
      </w:pPr>
    </w:lvl>
    <w:lvl w:ilvl="3" w:tplc="B308CEBC">
      <w:start w:val="1"/>
      <w:numFmt w:val="bullet"/>
      <w:lvlText w:val="●"/>
      <w:lvlJc w:val="left"/>
      <w:pPr>
        <w:ind w:left="2880" w:hanging="360"/>
      </w:pPr>
    </w:lvl>
    <w:lvl w:ilvl="4" w:tplc="A796A20C">
      <w:start w:val="1"/>
      <w:numFmt w:val="bullet"/>
      <w:lvlText w:val="○"/>
      <w:lvlJc w:val="left"/>
      <w:pPr>
        <w:ind w:left="3600" w:hanging="360"/>
      </w:pPr>
    </w:lvl>
    <w:lvl w:ilvl="5" w:tplc="18E2F0DA">
      <w:start w:val="1"/>
      <w:numFmt w:val="bullet"/>
      <w:lvlText w:val="■"/>
      <w:lvlJc w:val="left"/>
      <w:pPr>
        <w:ind w:left="4320" w:hanging="360"/>
      </w:pPr>
    </w:lvl>
    <w:lvl w:ilvl="6" w:tplc="9C944FF8">
      <w:start w:val="1"/>
      <w:numFmt w:val="bullet"/>
      <w:lvlText w:val="●"/>
      <w:lvlJc w:val="left"/>
      <w:pPr>
        <w:ind w:left="5040" w:hanging="360"/>
      </w:pPr>
    </w:lvl>
    <w:lvl w:ilvl="7" w:tplc="4CD4F8E8">
      <w:start w:val="1"/>
      <w:numFmt w:val="bullet"/>
      <w:lvlText w:val="●"/>
      <w:lvlJc w:val="left"/>
      <w:pPr>
        <w:ind w:left="5760" w:hanging="360"/>
      </w:pPr>
    </w:lvl>
    <w:lvl w:ilvl="8" w:tplc="685872C8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41AE700B"/>
    <w:multiLevelType w:val="hybridMultilevel"/>
    <w:tmpl w:val="2AFA3BBE"/>
    <w:lvl w:ilvl="0" w:tplc="53C877CE">
      <w:start w:val="1"/>
      <w:numFmt w:val="decimal"/>
      <w:lvlText w:val="%1."/>
      <w:lvlJc w:val="left"/>
      <w:pPr>
        <w:ind w:left="720" w:hanging="360"/>
      </w:pPr>
    </w:lvl>
    <w:lvl w:ilvl="1" w:tplc="A3406BFE">
      <w:numFmt w:val="decimal"/>
      <w:lvlText w:val=""/>
      <w:lvlJc w:val="left"/>
    </w:lvl>
    <w:lvl w:ilvl="2" w:tplc="902ED6B2">
      <w:numFmt w:val="decimal"/>
      <w:lvlText w:val=""/>
      <w:lvlJc w:val="left"/>
    </w:lvl>
    <w:lvl w:ilvl="3" w:tplc="EBDC0BEE">
      <w:numFmt w:val="decimal"/>
      <w:lvlText w:val=""/>
      <w:lvlJc w:val="left"/>
    </w:lvl>
    <w:lvl w:ilvl="4" w:tplc="E87680F8">
      <w:numFmt w:val="decimal"/>
      <w:lvlText w:val=""/>
      <w:lvlJc w:val="left"/>
    </w:lvl>
    <w:lvl w:ilvl="5" w:tplc="31DC347E">
      <w:numFmt w:val="decimal"/>
      <w:lvlText w:val=""/>
      <w:lvlJc w:val="left"/>
    </w:lvl>
    <w:lvl w:ilvl="6" w:tplc="218A2B92">
      <w:numFmt w:val="decimal"/>
      <w:lvlText w:val=""/>
      <w:lvlJc w:val="left"/>
    </w:lvl>
    <w:lvl w:ilvl="7" w:tplc="E95270EA">
      <w:numFmt w:val="decimal"/>
      <w:lvlText w:val=""/>
      <w:lvlJc w:val="left"/>
    </w:lvl>
    <w:lvl w:ilvl="8" w:tplc="6312116A">
      <w:numFmt w:val="decimal"/>
      <w:lvlText w:val=""/>
      <w:lvlJc w:val="left"/>
    </w:lvl>
  </w:abstractNum>
  <w:num w:numId="1" w16cid:durableId="953286948">
    <w:abstractNumId w:val="1"/>
    <w:lvlOverride w:ilvl="0">
      <w:startOverride w:val="1"/>
    </w:lvlOverride>
  </w:num>
  <w:num w:numId="2" w16cid:durableId="53955889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84D"/>
    <w:rsid w:val="00025501"/>
    <w:rsid w:val="00056978"/>
    <w:rsid w:val="0020408A"/>
    <w:rsid w:val="00323956"/>
    <w:rsid w:val="0051384D"/>
    <w:rsid w:val="005D1EA8"/>
    <w:rsid w:val="008A3567"/>
    <w:rsid w:val="00B80559"/>
    <w:rsid w:val="00D2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87A38F"/>
  <w15:docId w15:val="{4EB5FBA6-C2F4-3D43-A8B1-71698CE90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240" w:after="100"/>
      <w:outlineLvl w:val="0"/>
    </w:pPr>
    <w:rPr>
      <w:rFonts w:eastAsia="Arial"/>
      <w:b/>
      <w:bCs/>
      <w:color w:val="FFFFFF"/>
      <w:sz w:val="30"/>
      <w:szCs w:val="30"/>
    </w:rPr>
  </w:style>
  <w:style w:type="paragraph" w:styleId="2">
    <w:name w:val="heading 2"/>
    <w:uiPriority w:val="9"/>
    <w:unhideWhenUsed/>
    <w:qFormat/>
    <w:pPr>
      <w:spacing w:before="180" w:after="80"/>
      <w:outlineLvl w:val="1"/>
    </w:pPr>
    <w:rPr>
      <w:rFonts w:eastAsia="Arial"/>
      <w:b/>
      <w:bCs/>
      <w:color w:val="2E75B6"/>
      <w:sz w:val="24"/>
      <w:szCs w:val="24"/>
    </w:rPr>
  </w:style>
  <w:style w:type="paragraph" w:styleId="3">
    <w:name w:val="heading 3"/>
    <w:uiPriority w:val="9"/>
    <w:semiHidden/>
    <w:unhideWhenUsed/>
    <w:qFormat/>
    <w:pPr>
      <w:spacing w:before="140" w:after="60"/>
      <w:outlineLvl w:val="2"/>
    </w:pPr>
    <w:rPr>
      <w:rFonts w:eastAsia="Arial"/>
      <w:b/>
      <w:bCs/>
      <w:color w:val="1F4E79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895</Words>
  <Characters>5108</Characters>
  <Application>Microsoft Office Word</Application>
  <DocSecurity>0</DocSecurity>
  <Lines>42</Lines>
  <Paragraphs>11</Paragraphs>
  <ScaleCrop>false</ScaleCrop>
  <Company/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hao chen</cp:lastModifiedBy>
  <cp:revision>5</cp:revision>
  <dcterms:created xsi:type="dcterms:W3CDTF">2026-02-22T12:23:00Z</dcterms:created>
  <dcterms:modified xsi:type="dcterms:W3CDTF">2026-03-16T23:26:00Z</dcterms:modified>
</cp:coreProperties>
</file>