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CFE1" w14:textId="77777777" w:rsidR="00B17714" w:rsidRDefault="00B17714">
      <w:pPr>
        <w:spacing w:before="300"/>
      </w:pPr>
    </w:p>
    <w:p w14:paraId="540EC4E0" w14:textId="77777777" w:rsidR="00B17714" w:rsidRDefault="00000000">
      <w:pPr>
        <w:spacing w:after="60"/>
        <w:jc w:val="center"/>
      </w:pPr>
      <w:r>
        <w:rPr>
          <w:rFonts w:eastAsia="Arial"/>
          <w:b/>
          <w:bCs/>
          <w:color w:val="1F4E79"/>
          <w:sz w:val="48"/>
          <w:szCs w:val="48"/>
        </w:rPr>
        <w:t>ELRC TRADING PTY LTD</w:t>
      </w:r>
    </w:p>
    <w:p w14:paraId="55A3B2EB" w14:textId="77777777" w:rsidR="00B17714" w:rsidRDefault="00000000">
      <w:pPr>
        <w:spacing w:after="240"/>
        <w:jc w:val="center"/>
      </w:pPr>
      <w:r>
        <w:rPr>
          <w:rFonts w:eastAsia="Arial"/>
          <w:color w:val="595959"/>
          <w:sz w:val="20"/>
          <w:szCs w:val="20"/>
        </w:rPr>
        <w:t xml:space="preserve">ACN: 686 501 </w:t>
      </w:r>
      <w:proofErr w:type="gramStart"/>
      <w:r>
        <w:rPr>
          <w:rFonts w:eastAsia="Arial"/>
          <w:color w:val="595959"/>
          <w:sz w:val="20"/>
          <w:szCs w:val="20"/>
        </w:rPr>
        <w:t>995  |</w:t>
      </w:r>
      <w:proofErr w:type="gramEnd"/>
      <w:r>
        <w:rPr>
          <w:rFonts w:eastAsia="Arial"/>
          <w:color w:val="595959"/>
          <w:sz w:val="20"/>
          <w:szCs w:val="20"/>
        </w:rPr>
        <w:t xml:space="preserve">  Surrey Hills VIC 3127</w:t>
      </w:r>
    </w:p>
    <w:p w14:paraId="0413D0A5" w14:textId="77777777" w:rsidR="00B17714" w:rsidRDefault="00000000">
      <w:pPr>
        <w:shd w:val="clear" w:color="auto" w:fill="1F4E79"/>
        <w:spacing w:before="160"/>
        <w:jc w:val="center"/>
      </w:pPr>
      <w:r>
        <w:rPr>
          <w:rFonts w:eastAsia="Arial"/>
          <w:b/>
          <w:bCs/>
          <w:color w:val="FFFFFF"/>
          <w:sz w:val="36"/>
          <w:szCs w:val="36"/>
        </w:rPr>
        <w:t>INFORMATION SECURITY POLICY</w:t>
      </w:r>
    </w:p>
    <w:p w14:paraId="0737F34E" w14:textId="77777777" w:rsidR="00B17714" w:rsidRDefault="00000000">
      <w:pPr>
        <w:shd w:val="clear" w:color="auto" w:fill="2E75B6"/>
        <w:spacing w:after="300"/>
        <w:jc w:val="center"/>
      </w:pPr>
      <w:r>
        <w:rPr>
          <w:rFonts w:eastAsia="Arial"/>
          <w:color w:val="FFFFFF"/>
          <w:sz w:val="20"/>
          <w:szCs w:val="20"/>
        </w:rPr>
        <w:t xml:space="preserve">Access </w:t>
      </w:r>
      <w:proofErr w:type="gramStart"/>
      <w:r>
        <w:rPr>
          <w:rFonts w:eastAsia="Arial"/>
          <w:color w:val="FFFFFF"/>
          <w:sz w:val="20"/>
          <w:szCs w:val="20"/>
        </w:rPr>
        <w:t>Control  |</w:t>
      </w:r>
      <w:proofErr w:type="gramEnd"/>
      <w:r>
        <w:rPr>
          <w:rFonts w:eastAsia="Arial"/>
          <w:color w:val="FFFFFF"/>
          <w:sz w:val="20"/>
          <w:szCs w:val="20"/>
        </w:rPr>
        <w:t xml:space="preserve">  Data </w:t>
      </w:r>
      <w:proofErr w:type="gramStart"/>
      <w:r>
        <w:rPr>
          <w:rFonts w:eastAsia="Arial"/>
          <w:color w:val="FFFFFF"/>
          <w:sz w:val="20"/>
          <w:szCs w:val="20"/>
        </w:rPr>
        <w:t>Encryption  |</w:t>
      </w:r>
      <w:proofErr w:type="gramEnd"/>
      <w:r>
        <w:rPr>
          <w:rFonts w:eastAsia="Arial"/>
          <w:color w:val="FFFFFF"/>
          <w:sz w:val="20"/>
          <w:szCs w:val="20"/>
        </w:rPr>
        <w:t xml:space="preserve">  </w:t>
      </w:r>
      <w:proofErr w:type="gramStart"/>
      <w:r>
        <w:rPr>
          <w:rFonts w:eastAsia="Arial"/>
          <w:color w:val="FFFFFF"/>
          <w:sz w:val="20"/>
          <w:szCs w:val="20"/>
        </w:rPr>
        <w:t>Cybersecurity  |</w:t>
      </w:r>
      <w:proofErr w:type="gramEnd"/>
      <w:r>
        <w:rPr>
          <w:rFonts w:eastAsia="Arial"/>
          <w:color w:val="FFFFFF"/>
          <w:sz w:val="20"/>
          <w:szCs w:val="20"/>
        </w:rPr>
        <w:t xml:space="preserve">  Incident </w:t>
      </w:r>
      <w:proofErr w:type="gramStart"/>
      <w:r>
        <w:rPr>
          <w:rFonts w:eastAsia="Arial"/>
          <w:color w:val="FFFFFF"/>
          <w:sz w:val="20"/>
          <w:szCs w:val="20"/>
        </w:rPr>
        <w:t>Response  |</w:t>
      </w:r>
      <w:proofErr w:type="gramEnd"/>
      <w:r>
        <w:rPr>
          <w:rFonts w:eastAsia="Arial"/>
          <w:color w:val="FFFFFF"/>
          <w:sz w:val="20"/>
          <w:szCs w:val="20"/>
        </w:rPr>
        <w:t xml:space="preserve">  Vendor Security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B17714" w14:paraId="54291605" w14:textId="77777777">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87DB501" w14:textId="77777777" w:rsidR="00B17714" w:rsidRDefault="00000000">
            <w:r>
              <w:rPr>
                <w:rFonts w:eastAsia="Arial"/>
                <w:b/>
                <w:bCs/>
                <w:color w:val="595959"/>
                <w:sz w:val="18"/>
                <w:szCs w:val="18"/>
              </w:rPr>
              <w:t>Doc Reference</w:t>
            </w:r>
          </w:p>
          <w:p w14:paraId="5995ADA5" w14:textId="77777777" w:rsidR="00B17714" w:rsidRDefault="00000000">
            <w:r>
              <w:rPr>
                <w:rFonts w:eastAsia="Arial"/>
                <w:sz w:val="20"/>
                <w:szCs w:val="20"/>
              </w:rPr>
              <w:t>ELRC-ISP-001</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E337B51" w14:textId="77777777" w:rsidR="00B17714" w:rsidRDefault="00000000">
            <w:r>
              <w:rPr>
                <w:rFonts w:eastAsia="Arial"/>
                <w:b/>
                <w:bCs/>
                <w:color w:val="595959"/>
                <w:sz w:val="18"/>
                <w:szCs w:val="18"/>
              </w:rPr>
              <w:t>Version</w:t>
            </w:r>
          </w:p>
          <w:p w14:paraId="780EAD3C" w14:textId="77777777" w:rsidR="00B17714" w:rsidRDefault="00000000">
            <w:r>
              <w:rPr>
                <w:rFonts w:eastAsia="Arial"/>
                <w:sz w:val="20"/>
                <w:szCs w:val="20"/>
              </w:rPr>
              <w:t>1.0</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618DCB1" w14:textId="77777777" w:rsidR="00B17714" w:rsidRDefault="00000000">
            <w:r>
              <w:rPr>
                <w:rFonts w:eastAsia="Arial"/>
                <w:b/>
                <w:bCs/>
                <w:color w:val="595959"/>
                <w:sz w:val="18"/>
                <w:szCs w:val="18"/>
              </w:rPr>
              <w:t>Effective Date</w:t>
            </w:r>
          </w:p>
          <w:p w14:paraId="62D762EB" w14:textId="77777777" w:rsidR="00B17714" w:rsidRDefault="00000000">
            <w:r>
              <w:rPr>
                <w:rFonts w:eastAsia="Arial"/>
                <w:sz w:val="20"/>
                <w:szCs w:val="20"/>
              </w:rPr>
              <w:t>01 February 2026</w:t>
            </w:r>
          </w:p>
        </w:tc>
        <w:tc>
          <w:tcPr>
            <w:tcW w:w="234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BFAAB6E" w14:textId="77777777" w:rsidR="00B17714" w:rsidRDefault="00000000">
            <w:r>
              <w:rPr>
                <w:rFonts w:eastAsia="Arial"/>
                <w:b/>
                <w:bCs/>
                <w:color w:val="595959"/>
                <w:sz w:val="18"/>
                <w:szCs w:val="18"/>
              </w:rPr>
              <w:t>Classification</w:t>
            </w:r>
          </w:p>
          <w:p w14:paraId="5A8FA7E6" w14:textId="77777777" w:rsidR="00B17714" w:rsidRDefault="00000000">
            <w:r>
              <w:rPr>
                <w:rFonts w:eastAsia="Arial"/>
                <w:sz w:val="20"/>
                <w:szCs w:val="20"/>
              </w:rPr>
              <w:t>CONFIDENTIAL</w:t>
            </w:r>
          </w:p>
        </w:tc>
      </w:tr>
    </w:tbl>
    <w:p w14:paraId="473E9422" w14:textId="77777777" w:rsidR="00B17714" w:rsidRDefault="00000000">
      <w:r>
        <w:br w:type="page"/>
      </w:r>
    </w:p>
    <w:p w14:paraId="46C5BFC8" w14:textId="77777777" w:rsidR="00B17714" w:rsidRDefault="00000000">
      <w:pPr>
        <w:pStyle w:val="1"/>
        <w:shd w:val="clear" w:color="auto" w:fill="1F4E79"/>
        <w:ind w:left="180"/>
      </w:pPr>
      <w:r>
        <w:lastRenderedPageBreak/>
        <w:t>1.  Policy Purpose and Scope</w:t>
      </w:r>
    </w:p>
    <w:p w14:paraId="2B5B36EC" w14:textId="77777777" w:rsidR="00B17714" w:rsidRDefault="00000000">
      <w:pPr>
        <w:spacing w:after="100"/>
      </w:pPr>
      <w:r>
        <w:rPr>
          <w:rFonts w:eastAsia="Arial"/>
        </w:rPr>
        <w:t>This Information Security Policy ("Policy") establishes the framework and minimum standards for protecting information assets, systems, and data held by ELRC TRADING Pty Ltd ("ELRC"). The Policy applies to all employees, contractors, Authorized Representatives, and third-party service providers who access ELRC systems or handle ELRC data.</w:t>
      </w:r>
    </w:p>
    <w:p w14:paraId="6556B859" w14:textId="77777777" w:rsidR="00B17714" w:rsidRDefault="00000000">
      <w:pPr>
        <w:spacing w:after="100"/>
      </w:pPr>
      <w:r>
        <w:rPr>
          <w:rFonts w:eastAsia="Arial"/>
        </w:rPr>
        <w:t>This Policy is designed to protect the confidentiality, integrity, and availability of ELRC's information assets, including client personal data and financial transaction records, in compliance with:</w:t>
      </w:r>
    </w:p>
    <w:p w14:paraId="4AEB2C83" w14:textId="77777777" w:rsidR="00B17714" w:rsidRDefault="00000000">
      <w:pPr>
        <w:pStyle w:val="a4"/>
        <w:numPr>
          <w:ilvl w:val="0"/>
          <w:numId w:val="2"/>
        </w:numPr>
        <w:spacing w:after="80"/>
      </w:pPr>
      <w:r>
        <w:rPr>
          <w:rFonts w:eastAsia="Arial"/>
        </w:rPr>
        <w:t>Privacy Act 1988 (</w:t>
      </w:r>
      <w:proofErr w:type="spellStart"/>
      <w:r>
        <w:rPr>
          <w:rFonts w:eastAsia="Arial"/>
        </w:rPr>
        <w:t>Cth</w:t>
      </w:r>
      <w:proofErr w:type="spellEnd"/>
      <w:r>
        <w:rPr>
          <w:rFonts w:eastAsia="Arial"/>
        </w:rPr>
        <w:t>) and Australian Privacy Principles</w:t>
      </w:r>
    </w:p>
    <w:p w14:paraId="3B1772EF" w14:textId="77777777" w:rsidR="00B17714" w:rsidRDefault="00000000">
      <w:pPr>
        <w:pStyle w:val="a4"/>
        <w:numPr>
          <w:ilvl w:val="0"/>
          <w:numId w:val="2"/>
        </w:numPr>
        <w:spacing w:after="80"/>
      </w:pPr>
      <w:r>
        <w:rPr>
          <w:rFonts w:eastAsia="Arial"/>
        </w:rPr>
        <w:t>AML/CTF Act 2006 (</w:t>
      </w:r>
      <w:proofErr w:type="spellStart"/>
      <w:r>
        <w:rPr>
          <w:rFonts w:eastAsia="Arial"/>
        </w:rPr>
        <w:t>Cth</w:t>
      </w:r>
      <w:proofErr w:type="spellEnd"/>
      <w:r>
        <w:rPr>
          <w:rFonts w:eastAsia="Arial"/>
        </w:rPr>
        <w:t>) — record-keeping and data security obligations</w:t>
      </w:r>
    </w:p>
    <w:p w14:paraId="0DA11065" w14:textId="77777777" w:rsidR="00B17714" w:rsidRDefault="00000000">
      <w:pPr>
        <w:pStyle w:val="a4"/>
        <w:numPr>
          <w:ilvl w:val="0"/>
          <w:numId w:val="2"/>
        </w:numPr>
        <w:spacing w:after="80"/>
      </w:pPr>
      <w:r>
        <w:rPr>
          <w:rFonts w:eastAsia="Arial"/>
        </w:rPr>
        <w:t>ISO/IEC 27001:2022 Information Security Management principles</w:t>
      </w:r>
    </w:p>
    <w:p w14:paraId="76FEB6CC" w14:textId="77777777" w:rsidR="00B17714" w:rsidRDefault="00000000">
      <w:pPr>
        <w:pStyle w:val="a4"/>
        <w:numPr>
          <w:ilvl w:val="0"/>
          <w:numId w:val="2"/>
        </w:numPr>
        <w:spacing w:after="80"/>
      </w:pPr>
      <w:r>
        <w:rPr>
          <w:rFonts w:eastAsia="Arial"/>
        </w:rPr>
        <w:t>AUSTRAC cybersecurity expectations for reporting entities</w:t>
      </w:r>
    </w:p>
    <w:p w14:paraId="24B7B496" w14:textId="77777777" w:rsidR="00B17714" w:rsidRDefault="00000000">
      <w:pPr>
        <w:pStyle w:val="1"/>
        <w:shd w:val="clear" w:color="auto" w:fill="1F4E79"/>
        <w:ind w:left="180"/>
      </w:pPr>
      <w:r>
        <w:t>2.  Information Classification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000"/>
        <w:gridCol w:w="4560"/>
      </w:tblGrid>
      <w:tr w:rsidR="00B17714" w14:paraId="2E0B641F" w14:textId="77777777">
        <w:trPr>
          <w:tblHeader/>
        </w:trPr>
        <w:tc>
          <w:tcPr>
            <w:tcW w:w="18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3697975D" w14:textId="77777777" w:rsidR="00B17714" w:rsidRDefault="00000000">
            <w:r>
              <w:rPr>
                <w:rFonts w:eastAsia="Arial"/>
                <w:b/>
                <w:bCs/>
                <w:color w:val="FFFFFF"/>
                <w:sz w:val="19"/>
                <w:szCs w:val="19"/>
              </w:rPr>
              <w:t>Classification</w:t>
            </w:r>
          </w:p>
        </w:tc>
        <w:tc>
          <w:tcPr>
            <w:tcW w:w="30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70969F74" w14:textId="77777777" w:rsidR="00B17714" w:rsidRDefault="00000000">
            <w:r>
              <w:rPr>
                <w:rFonts w:eastAsia="Arial"/>
                <w:b/>
                <w:bCs/>
                <w:color w:val="FFFFFF"/>
                <w:sz w:val="19"/>
                <w:szCs w:val="19"/>
              </w:rPr>
              <w:t>Examples</w:t>
            </w:r>
          </w:p>
        </w:tc>
        <w:tc>
          <w:tcPr>
            <w:tcW w:w="456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5D7008B8" w14:textId="77777777" w:rsidR="00B17714" w:rsidRDefault="00000000">
            <w:r>
              <w:rPr>
                <w:rFonts w:eastAsia="Arial"/>
                <w:b/>
                <w:bCs/>
                <w:color w:val="FFFFFF"/>
                <w:sz w:val="19"/>
                <w:szCs w:val="19"/>
              </w:rPr>
              <w:t>Handling Requirements</w:t>
            </w:r>
          </w:p>
        </w:tc>
      </w:tr>
      <w:tr w:rsidR="00B17714" w14:paraId="71742894" w14:textId="77777777">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0CB49C" w14:textId="77777777" w:rsidR="00B17714" w:rsidRDefault="00000000">
            <w:r>
              <w:rPr>
                <w:rFonts w:eastAsia="Arial"/>
                <w:sz w:val="19"/>
                <w:szCs w:val="19"/>
              </w:rPr>
              <w:t>RESTRICTED</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7972C1" w14:textId="77777777" w:rsidR="00B17714" w:rsidRDefault="00000000">
            <w:r>
              <w:rPr>
                <w:rFonts w:eastAsia="Arial"/>
                <w:sz w:val="19"/>
                <w:szCs w:val="19"/>
              </w:rPr>
              <w:t>AUSTRAC report filings, SMR details, SAR investigation files</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3424CA" w14:textId="77777777" w:rsidR="00B17714" w:rsidRDefault="00000000">
            <w:r>
              <w:rPr>
                <w:rFonts w:eastAsia="Arial"/>
                <w:sz w:val="19"/>
                <w:szCs w:val="19"/>
              </w:rPr>
              <w:t>Encrypt in transit &amp; at rest; CO access only; never transmitted via unencrypted email</w:t>
            </w:r>
          </w:p>
        </w:tc>
      </w:tr>
      <w:tr w:rsidR="00B17714" w14:paraId="2F3698D6" w14:textId="77777777">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045B5BF" w14:textId="77777777" w:rsidR="00B17714" w:rsidRDefault="00000000">
            <w:r>
              <w:rPr>
                <w:rFonts w:eastAsia="Arial"/>
                <w:sz w:val="19"/>
                <w:szCs w:val="19"/>
              </w:rPr>
              <w:t>CONFIDENTIAL</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D5A1D27" w14:textId="77777777" w:rsidR="00B17714" w:rsidRDefault="00000000">
            <w:r>
              <w:rPr>
                <w:rFonts w:eastAsia="Arial"/>
                <w:sz w:val="19"/>
                <w:szCs w:val="19"/>
              </w:rPr>
              <w:t>KYC documents, client PII, UBO data, banking details, this Policy</w:t>
            </w:r>
          </w:p>
        </w:tc>
        <w:tc>
          <w:tcPr>
            <w:tcW w:w="4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51D46EB" w14:textId="77777777" w:rsidR="00B17714" w:rsidRDefault="00000000">
            <w:r>
              <w:rPr>
                <w:rFonts w:eastAsia="Arial"/>
                <w:sz w:val="19"/>
                <w:szCs w:val="19"/>
              </w:rPr>
              <w:t>Encrypt in transit; role-based access; internal use only</w:t>
            </w:r>
          </w:p>
        </w:tc>
      </w:tr>
      <w:tr w:rsidR="00B17714" w14:paraId="05A09BFC" w14:textId="77777777">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92200F" w14:textId="77777777" w:rsidR="00B17714" w:rsidRDefault="00000000">
            <w:r>
              <w:rPr>
                <w:rFonts w:eastAsia="Arial"/>
                <w:sz w:val="19"/>
                <w:szCs w:val="19"/>
              </w:rPr>
              <w:t>INTERNAL</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E4C2E0" w14:textId="77777777" w:rsidR="00B17714" w:rsidRDefault="00000000">
            <w:r>
              <w:rPr>
                <w:rFonts w:eastAsia="Arial"/>
                <w:sz w:val="19"/>
                <w:szCs w:val="19"/>
              </w:rPr>
              <w:t>SOPs, training materials, operational processes</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150D01" w14:textId="77777777" w:rsidR="00B17714" w:rsidRDefault="00000000">
            <w:r>
              <w:rPr>
                <w:rFonts w:eastAsia="Arial"/>
                <w:sz w:val="19"/>
                <w:szCs w:val="19"/>
              </w:rPr>
              <w:t>Accessible to all staff; not for external distribution without approval</w:t>
            </w:r>
          </w:p>
        </w:tc>
      </w:tr>
      <w:tr w:rsidR="00B17714" w14:paraId="6A8A341C" w14:textId="77777777">
        <w:tc>
          <w:tcPr>
            <w:tcW w:w="1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D8CC3FF" w14:textId="77777777" w:rsidR="00B17714" w:rsidRDefault="00000000">
            <w:r>
              <w:rPr>
                <w:rFonts w:eastAsia="Arial"/>
                <w:sz w:val="19"/>
                <w:szCs w:val="19"/>
              </w:rPr>
              <w:t>PUBLIC</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C480959" w14:textId="77777777" w:rsidR="00B17714" w:rsidRDefault="00000000">
            <w:r>
              <w:rPr>
                <w:rFonts w:eastAsia="Arial"/>
                <w:sz w:val="19"/>
                <w:szCs w:val="19"/>
              </w:rPr>
              <w:t>Terms of Use, Privacy Policy, Risk Warning Statement</w:t>
            </w:r>
          </w:p>
        </w:tc>
        <w:tc>
          <w:tcPr>
            <w:tcW w:w="4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29B4A9D" w14:textId="77777777" w:rsidR="00B17714" w:rsidRDefault="00000000">
            <w:r>
              <w:rPr>
                <w:rFonts w:eastAsia="Arial"/>
                <w:sz w:val="19"/>
                <w:szCs w:val="19"/>
              </w:rPr>
              <w:t>No restrictions; approved for public release</w:t>
            </w:r>
          </w:p>
        </w:tc>
      </w:tr>
    </w:tbl>
    <w:p w14:paraId="52FE1686" w14:textId="77777777" w:rsidR="00B17714" w:rsidRDefault="00B17714">
      <w:pPr>
        <w:spacing w:after="120"/>
      </w:pPr>
    </w:p>
    <w:p w14:paraId="78B2F249" w14:textId="77777777" w:rsidR="00B17714" w:rsidRDefault="00000000">
      <w:pPr>
        <w:pStyle w:val="1"/>
        <w:shd w:val="clear" w:color="auto" w:fill="1F4E79"/>
        <w:ind w:left="180"/>
      </w:pPr>
      <w:r>
        <w:t>3.  Access Control</w:t>
      </w:r>
    </w:p>
    <w:p w14:paraId="0405D209" w14:textId="77777777" w:rsidR="00B17714" w:rsidRDefault="00000000">
      <w:pPr>
        <w:pStyle w:val="2"/>
        <w:pBdr>
          <w:bottom w:val="single" w:sz="4" w:space="4" w:color="2E75B6"/>
        </w:pBdr>
      </w:pPr>
      <w:proofErr w:type="gramStart"/>
      <w:r>
        <w:t>3.1  Principle</w:t>
      </w:r>
      <w:proofErr w:type="gramEnd"/>
      <w:r>
        <w:t xml:space="preserve"> of Least Privilege</w:t>
      </w:r>
    </w:p>
    <w:p w14:paraId="6E574BF4" w14:textId="77777777" w:rsidR="00B17714" w:rsidRDefault="00000000">
      <w:pPr>
        <w:spacing w:after="100"/>
      </w:pPr>
      <w:r>
        <w:rPr>
          <w:rFonts w:eastAsia="Arial"/>
        </w:rPr>
        <w:t xml:space="preserve">All system access is granted </w:t>
      </w:r>
      <w:proofErr w:type="gramStart"/>
      <w:r>
        <w:rPr>
          <w:rFonts w:eastAsia="Arial"/>
        </w:rPr>
        <w:t>on the basis of</w:t>
      </w:r>
      <w:proofErr w:type="gramEnd"/>
      <w:r>
        <w:rPr>
          <w:rFonts w:eastAsia="Arial"/>
        </w:rPr>
        <w:t xml:space="preserve"> the minimum permissions required to perform the relevant job function. Access rights are reviewed at minimum annually and whenever a staff member changes role or departs.</w:t>
      </w:r>
    </w:p>
    <w:p w14:paraId="2609C1AF" w14:textId="77777777" w:rsidR="00B17714" w:rsidRDefault="00000000">
      <w:pPr>
        <w:pStyle w:val="2"/>
        <w:pBdr>
          <w:bottom w:val="single" w:sz="4" w:space="4" w:color="2E75B6"/>
        </w:pBdr>
      </w:pPr>
      <w:proofErr w:type="gramStart"/>
      <w:r>
        <w:t>3.2  Authentication</w:t>
      </w:r>
      <w:proofErr w:type="gramEnd"/>
      <w:r>
        <w:t xml:space="preserve"> Requirements</w:t>
      </w:r>
    </w:p>
    <w:p w14:paraId="5F581B95" w14:textId="77777777" w:rsidR="00B17714" w:rsidRDefault="00000000">
      <w:pPr>
        <w:pStyle w:val="a4"/>
        <w:numPr>
          <w:ilvl w:val="0"/>
          <w:numId w:val="2"/>
        </w:numPr>
        <w:spacing w:after="80"/>
      </w:pPr>
      <w:r>
        <w:rPr>
          <w:rFonts w:eastAsia="Arial"/>
        </w:rPr>
        <w:t>All ELRC systems require password authentication with a minimum of 12 characters, including uppercase, lowercase, numerals, and special characters.</w:t>
      </w:r>
    </w:p>
    <w:p w14:paraId="52270822" w14:textId="0CDED56A" w:rsidR="00B17714" w:rsidRDefault="00000000">
      <w:pPr>
        <w:pStyle w:val="a4"/>
        <w:numPr>
          <w:ilvl w:val="0"/>
          <w:numId w:val="2"/>
        </w:numPr>
        <w:spacing w:after="80"/>
      </w:pPr>
      <w:r>
        <w:rPr>
          <w:rFonts w:eastAsia="Arial"/>
        </w:rPr>
        <w:t xml:space="preserve">Multi-factor authentication (MFA) is mandatory for: all cloud systems, banking portals, AUSTRAC Online, </w:t>
      </w:r>
      <w:proofErr w:type="spellStart"/>
      <w:r>
        <w:rPr>
          <w:rFonts w:eastAsia="Arial"/>
        </w:rPr>
        <w:t>ComplyAdvantage</w:t>
      </w:r>
      <w:proofErr w:type="spellEnd"/>
      <w:r>
        <w:rPr>
          <w:rFonts w:eastAsia="Arial"/>
        </w:rPr>
        <w:t>, email, and remote access.</w:t>
      </w:r>
    </w:p>
    <w:p w14:paraId="3E6FD47F" w14:textId="77777777" w:rsidR="00B17714" w:rsidRDefault="00000000">
      <w:pPr>
        <w:pStyle w:val="a4"/>
        <w:numPr>
          <w:ilvl w:val="0"/>
          <w:numId w:val="2"/>
        </w:numPr>
        <w:spacing w:after="80"/>
      </w:pPr>
      <w:r>
        <w:rPr>
          <w:rFonts w:eastAsia="Arial"/>
        </w:rPr>
        <w:t>Shared accounts and generic logins are prohibited. Each user must have a unique, individually identified account.</w:t>
      </w:r>
    </w:p>
    <w:p w14:paraId="6337E54D" w14:textId="77777777" w:rsidR="00B17714" w:rsidRDefault="00000000">
      <w:pPr>
        <w:pStyle w:val="a4"/>
        <w:numPr>
          <w:ilvl w:val="0"/>
          <w:numId w:val="2"/>
        </w:numPr>
        <w:spacing w:after="80"/>
      </w:pPr>
      <w:r>
        <w:rPr>
          <w:rFonts w:eastAsia="Arial"/>
        </w:rPr>
        <w:t>Default system passwords must be changed before any system is placed into production.</w:t>
      </w:r>
    </w:p>
    <w:p w14:paraId="72649AA7" w14:textId="77777777" w:rsidR="00B17714" w:rsidRDefault="00000000">
      <w:pPr>
        <w:pStyle w:val="2"/>
        <w:pBdr>
          <w:bottom w:val="single" w:sz="4" w:space="4" w:color="2E75B6"/>
        </w:pBdr>
      </w:pPr>
      <w:proofErr w:type="gramStart"/>
      <w:r>
        <w:t>3.3  Access</w:t>
      </w:r>
      <w:proofErr w:type="gramEnd"/>
      <w:r>
        <w:t xml:space="preserve"> Provisioning and De-provisioning</w:t>
      </w:r>
    </w:p>
    <w:p w14:paraId="188DF726" w14:textId="77777777" w:rsidR="00B17714" w:rsidRDefault="00000000">
      <w:pPr>
        <w:pStyle w:val="a4"/>
        <w:numPr>
          <w:ilvl w:val="0"/>
          <w:numId w:val="2"/>
        </w:numPr>
        <w:spacing w:after="80"/>
      </w:pPr>
      <w:r>
        <w:rPr>
          <w:rFonts w:eastAsia="Arial"/>
        </w:rPr>
        <w:t>New staff access is provisioned only upon receipt of written approval from the Compliance Officer or IT Administrator.</w:t>
      </w:r>
    </w:p>
    <w:p w14:paraId="194F37A9" w14:textId="77777777" w:rsidR="00B17714" w:rsidRDefault="00000000">
      <w:pPr>
        <w:pStyle w:val="a4"/>
        <w:numPr>
          <w:ilvl w:val="0"/>
          <w:numId w:val="2"/>
        </w:numPr>
        <w:spacing w:after="80"/>
      </w:pPr>
      <w:r>
        <w:rPr>
          <w:rFonts w:eastAsia="Arial"/>
        </w:rPr>
        <w:t>Upon departure, all system access must be revoked within 4 hours of the employee's last working day.</w:t>
      </w:r>
    </w:p>
    <w:p w14:paraId="0F17137B" w14:textId="77777777" w:rsidR="00B17714" w:rsidRDefault="00000000">
      <w:pPr>
        <w:pStyle w:val="a4"/>
        <w:numPr>
          <w:ilvl w:val="0"/>
          <w:numId w:val="2"/>
        </w:numPr>
        <w:spacing w:after="80"/>
      </w:pPr>
      <w:r>
        <w:rPr>
          <w:rFonts w:eastAsia="Arial"/>
        </w:rPr>
        <w:lastRenderedPageBreak/>
        <w:t xml:space="preserve">Contractor and third-party access </w:t>
      </w:r>
      <w:proofErr w:type="gramStart"/>
      <w:r>
        <w:rPr>
          <w:rFonts w:eastAsia="Arial"/>
        </w:rPr>
        <w:t>is</w:t>
      </w:r>
      <w:proofErr w:type="gramEnd"/>
      <w:r>
        <w:rPr>
          <w:rFonts w:eastAsia="Arial"/>
        </w:rPr>
        <w:t xml:space="preserve"> time-limited and revoked upon expiry of the engagement.</w:t>
      </w:r>
    </w:p>
    <w:p w14:paraId="03531B4C" w14:textId="77777777" w:rsidR="00B17714" w:rsidRDefault="00000000">
      <w:pPr>
        <w:pStyle w:val="2"/>
        <w:pBdr>
          <w:bottom w:val="single" w:sz="4" w:space="4" w:color="2E75B6"/>
        </w:pBdr>
      </w:pPr>
      <w:proofErr w:type="gramStart"/>
      <w:r>
        <w:t>3.4  Privileged</w:t>
      </w:r>
      <w:proofErr w:type="gramEnd"/>
      <w:r>
        <w:t xml:space="preserve"> Access</w:t>
      </w:r>
    </w:p>
    <w:p w14:paraId="264ADC45" w14:textId="77777777" w:rsidR="00B17714" w:rsidRDefault="00000000">
      <w:pPr>
        <w:pStyle w:val="a4"/>
        <w:numPr>
          <w:ilvl w:val="0"/>
          <w:numId w:val="2"/>
        </w:numPr>
        <w:spacing w:after="80"/>
      </w:pPr>
      <w:r>
        <w:rPr>
          <w:rFonts w:eastAsia="Arial"/>
        </w:rPr>
        <w:t>Administrative/privileged accounts are maintained separately from standard user accounts and used only when required for specific administrative tasks.</w:t>
      </w:r>
    </w:p>
    <w:p w14:paraId="20F11C9C" w14:textId="77777777" w:rsidR="00B17714" w:rsidRDefault="00000000">
      <w:pPr>
        <w:pStyle w:val="a4"/>
        <w:numPr>
          <w:ilvl w:val="0"/>
          <w:numId w:val="2"/>
        </w:numPr>
        <w:spacing w:after="80"/>
      </w:pPr>
      <w:r>
        <w:rPr>
          <w:rFonts w:eastAsia="Arial"/>
        </w:rPr>
        <w:t>All privileged access activities are logged and reviewed quarterly by the Compliance Officer.</w:t>
      </w:r>
    </w:p>
    <w:p w14:paraId="5CE35979" w14:textId="77777777" w:rsidR="00B17714" w:rsidRDefault="00000000">
      <w:r>
        <w:br w:type="page"/>
      </w:r>
    </w:p>
    <w:p w14:paraId="18EC57C4" w14:textId="77777777" w:rsidR="00B17714" w:rsidRDefault="00000000">
      <w:pPr>
        <w:pStyle w:val="1"/>
        <w:shd w:val="clear" w:color="auto" w:fill="1F4E79"/>
        <w:ind w:left="180"/>
      </w:pPr>
      <w:r>
        <w:lastRenderedPageBreak/>
        <w:t>4.  Data Encryption</w:t>
      </w:r>
    </w:p>
    <w:p w14:paraId="3DEFC7C1" w14:textId="77777777" w:rsidR="00B17714" w:rsidRDefault="00000000">
      <w:pPr>
        <w:pStyle w:val="2"/>
        <w:pBdr>
          <w:bottom w:val="single" w:sz="4" w:space="4" w:color="2E75B6"/>
        </w:pBdr>
      </w:pPr>
      <w:proofErr w:type="gramStart"/>
      <w:r>
        <w:t>4.1  Encryption</w:t>
      </w:r>
      <w:proofErr w:type="gramEnd"/>
      <w:r>
        <w:t xml:space="preserve"> at Rest</w:t>
      </w:r>
    </w:p>
    <w:p w14:paraId="32CF10E1" w14:textId="77777777" w:rsidR="00B17714" w:rsidRDefault="00000000">
      <w:pPr>
        <w:pStyle w:val="a4"/>
        <w:numPr>
          <w:ilvl w:val="0"/>
          <w:numId w:val="2"/>
        </w:numPr>
        <w:spacing w:after="80"/>
      </w:pPr>
      <w:r>
        <w:rPr>
          <w:rFonts w:eastAsia="Arial"/>
        </w:rPr>
        <w:t>All data classified as RESTRICTED or CONFIDENTIAL must be encrypted at rest using AES-256 encryption or equivalent.</w:t>
      </w:r>
    </w:p>
    <w:p w14:paraId="4CC75271" w14:textId="77777777" w:rsidR="00B17714" w:rsidRDefault="00000000">
      <w:pPr>
        <w:pStyle w:val="a4"/>
        <w:numPr>
          <w:ilvl w:val="0"/>
          <w:numId w:val="2"/>
        </w:numPr>
        <w:spacing w:after="80"/>
      </w:pPr>
      <w:r>
        <w:rPr>
          <w:rFonts w:eastAsia="Arial"/>
        </w:rPr>
        <w:t>Laptops, mobile devices, and removable storage media containing ELRC data must be encrypted using full-disk encryption.</w:t>
      </w:r>
    </w:p>
    <w:p w14:paraId="15B29690" w14:textId="77777777" w:rsidR="00B17714" w:rsidRDefault="00000000">
      <w:pPr>
        <w:pStyle w:val="a4"/>
        <w:numPr>
          <w:ilvl w:val="0"/>
          <w:numId w:val="2"/>
        </w:numPr>
        <w:spacing w:after="80"/>
      </w:pPr>
      <w:r>
        <w:rPr>
          <w:rFonts w:eastAsia="Arial"/>
        </w:rPr>
        <w:t>Database encryption: client data, transaction records, and compliance files stored in databases must be encrypted at the field or tablespace level.</w:t>
      </w:r>
    </w:p>
    <w:p w14:paraId="7F46E029" w14:textId="77777777" w:rsidR="00B17714" w:rsidRDefault="00000000">
      <w:pPr>
        <w:pStyle w:val="2"/>
        <w:pBdr>
          <w:bottom w:val="single" w:sz="4" w:space="4" w:color="2E75B6"/>
        </w:pBdr>
      </w:pPr>
      <w:proofErr w:type="gramStart"/>
      <w:r>
        <w:t>4.2  Encryption</w:t>
      </w:r>
      <w:proofErr w:type="gramEnd"/>
      <w:r>
        <w:t xml:space="preserve"> in Transit</w:t>
      </w:r>
    </w:p>
    <w:p w14:paraId="5D127A88" w14:textId="77777777" w:rsidR="00B17714" w:rsidRDefault="00000000">
      <w:pPr>
        <w:pStyle w:val="a4"/>
        <w:numPr>
          <w:ilvl w:val="0"/>
          <w:numId w:val="2"/>
        </w:numPr>
        <w:spacing w:after="80"/>
      </w:pPr>
      <w:r>
        <w:rPr>
          <w:rFonts w:eastAsia="Arial"/>
        </w:rPr>
        <w:t>All data transmitted over public networks must be encrypted using TLS 1.2 or higher.</w:t>
      </w:r>
    </w:p>
    <w:p w14:paraId="28F393FE" w14:textId="77777777" w:rsidR="00B17714" w:rsidRDefault="00000000">
      <w:pPr>
        <w:pStyle w:val="a4"/>
        <w:numPr>
          <w:ilvl w:val="0"/>
          <w:numId w:val="2"/>
        </w:numPr>
        <w:spacing w:after="80"/>
      </w:pPr>
      <w:r>
        <w:rPr>
          <w:rFonts w:eastAsia="Arial"/>
        </w:rPr>
        <w:t>Email transmission of CONFIDENTIAL or RESTRICTED information is prohibited without encryption (e.g., S/MIME or PGP) or use of a secure file transfer portal.</w:t>
      </w:r>
    </w:p>
    <w:p w14:paraId="23812FEC" w14:textId="040E5925" w:rsidR="00B17714" w:rsidRDefault="00000000">
      <w:pPr>
        <w:pStyle w:val="a4"/>
        <w:numPr>
          <w:ilvl w:val="0"/>
          <w:numId w:val="2"/>
        </w:numPr>
        <w:spacing w:after="80"/>
      </w:pPr>
      <w:r>
        <w:rPr>
          <w:rFonts w:eastAsia="Arial"/>
        </w:rPr>
        <w:t>API communications with third-party systems (</w:t>
      </w:r>
      <w:proofErr w:type="spellStart"/>
      <w:r w:rsidR="00DC61F4">
        <w:rPr>
          <w:rFonts w:eastAsia="Arial"/>
        </w:rPr>
        <w:t>ComplyAdvantage</w:t>
      </w:r>
      <w:proofErr w:type="spellEnd"/>
      <w:r>
        <w:rPr>
          <w:rFonts w:eastAsia="Arial"/>
        </w:rPr>
        <w:t>, banking APIs, AUSTRAC Online) must use HTTPS/TLS with certificate validation.</w:t>
      </w:r>
    </w:p>
    <w:p w14:paraId="2E183080" w14:textId="77777777" w:rsidR="00B17714" w:rsidRDefault="00000000">
      <w:pPr>
        <w:pStyle w:val="2"/>
        <w:pBdr>
          <w:bottom w:val="single" w:sz="4" w:space="4" w:color="2E75B6"/>
        </w:pBdr>
      </w:pPr>
      <w:proofErr w:type="gramStart"/>
      <w:r>
        <w:t>4.3  Key</w:t>
      </w:r>
      <w:proofErr w:type="gramEnd"/>
      <w:r>
        <w:t xml:space="preserve"> Management</w:t>
      </w:r>
    </w:p>
    <w:p w14:paraId="71096814" w14:textId="77777777" w:rsidR="00B17714" w:rsidRDefault="00000000">
      <w:pPr>
        <w:pStyle w:val="a4"/>
        <w:numPr>
          <w:ilvl w:val="0"/>
          <w:numId w:val="2"/>
        </w:numPr>
        <w:spacing w:after="80"/>
      </w:pPr>
      <w:r>
        <w:rPr>
          <w:rFonts w:eastAsia="Arial"/>
        </w:rPr>
        <w:t>Encryption keys must not be stored in the same location as the data they protect.</w:t>
      </w:r>
    </w:p>
    <w:p w14:paraId="10EAAF58" w14:textId="77777777" w:rsidR="00B17714" w:rsidRDefault="00000000">
      <w:pPr>
        <w:pStyle w:val="a4"/>
        <w:numPr>
          <w:ilvl w:val="0"/>
          <w:numId w:val="2"/>
        </w:numPr>
        <w:spacing w:after="80"/>
      </w:pPr>
      <w:r>
        <w:rPr>
          <w:rFonts w:eastAsia="Arial"/>
        </w:rPr>
        <w:t>Key rotation occurs annually or upon suspected compromise.</w:t>
      </w:r>
    </w:p>
    <w:p w14:paraId="165581FC" w14:textId="77777777" w:rsidR="00B17714" w:rsidRDefault="00000000">
      <w:pPr>
        <w:pStyle w:val="a4"/>
        <w:numPr>
          <w:ilvl w:val="0"/>
          <w:numId w:val="2"/>
        </w:numPr>
        <w:spacing w:after="80"/>
      </w:pPr>
      <w:r>
        <w:rPr>
          <w:rFonts w:eastAsia="Arial"/>
        </w:rPr>
        <w:t>Key escrow arrangements must be documented and approved by the Compliance Officer.</w:t>
      </w:r>
    </w:p>
    <w:p w14:paraId="6968712B" w14:textId="77777777" w:rsidR="00B17714" w:rsidRDefault="00000000">
      <w:pPr>
        <w:pStyle w:val="1"/>
        <w:shd w:val="clear" w:color="auto" w:fill="1F4E79"/>
        <w:ind w:left="180"/>
      </w:pPr>
      <w:r>
        <w:t>5.  Network Security</w:t>
      </w:r>
    </w:p>
    <w:p w14:paraId="66CA698B" w14:textId="77777777" w:rsidR="00B17714" w:rsidRDefault="00000000">
      <w:pPr>
        <w:pStyle w:val="a4"/>
        <w:numPr>
          <w:ilvl w:val="0"/>
          <w:numId w:val="2"/>
        </w:numPr>
        <w:spacing w:after="80"/>
      </w:pPr>
      <w:r>
        <w:rPr>
          <w:rFonts w:eastAsia="Arial"/>
        </w:rPr>
        <w:t>ELRC's production network is protected by a next-generation firewall configured to deny all traffic except explicitly permitted connections.</w:t>
      </w:r>
    </w:p>
    <w:p w14:paraId="7E3FDB0D" w14:textId="77777777" w:rsidR="00B17714" w:rsidRDefault="00000000">
      <w:pPr>
        <w:pStyle w:val="a4"/>
        <w:numPr>
          <w:ilvl w:val="0"/>
          <w:numId w:val="2"/>
        </w:numPr>
        <w:spacing w:after="80"/>
      </w:pPr>
      <w:r>
        <w:rPr>
          <w:rFonts w:eastAsia="Arial"/>
        </w:rPr>
        <w:t>Network segmentation: the compliance management system and banking systems are hosted on isolated network segments not accessible from general-purpose workstations.</w:t>
      </w:r>
    </w:p>
    <w:p w14:paraId="72C36E97" w14:textId="77777777" w:rsidR="00B17714" w:rsidRDefault="00000000">
      <w:pPr>
        <w:pStyle w:val="a4"/>
        <w:numPr>
          <w:ilvl w:val="0"/>
          <w:numId w:val="2"/>
        </w:numPr>
        <w:spacing w:after="80"/>
      </w:pPr>
      <w:r>
        <w:rPr>
          <w:rFonts w:eastAsia="Arial"/>
        </w:rPr>
        <w:t>Intrusion Detection / Prevention System (IDS/IPS) is deployed on the perimeter network.</w:t>
      </w:r>
    </w:p>
    <w:p w14:paraId="4E769436" w14:textId="77777777" w:rsidR="00B17714" w:rsidRDefault="00000000">
      <w:pPr>
        <w:pStyle w:val="a4"/>
        <w:numPr>
          <w:ilvl w:val="0"/>
          <w:numId w:val="2"/>
        </w:numPr>
        <w:spacing w:after="80"/>
      </w:pPr>
      <w:r>
        <w:rPr>
          <w:rFonts w:eastAsia="Arial"/>
        </w:rPr>
        <w:t>All remote access to ELRC systems is conducted exclusively via VPN with MFA.</w:t>
      </w:r>
    </w:p>
    <w:p w14:paraId="3620B11C" w14:textId="77777777" w:rsidR="00B17714" w:rsidRDefault="00000000">
      <w:pPr>
        <w:pStyle w:val="a4"/>
        <w:numPr>
          <w:ilvl w:val="0"/>
          <w:numId w:val="2"/>
        </w:numPr>
        <w:spacing w:after="80"/>
      </w:pPr>
      <w:r>
        <w:rPr>
          <w:rFonts w:eastAsia="Arial"/>
        </w:rPr>
        <w:t>Wi-Fi networks: the guest network is segregated from the corporate network. WPA3 or WPA2-Enterprise is required.</w:t>
      </w:r>
    </w:p>
    <w:p w14:paraId="1F3762AE" w14:textId="77777777" w:rsidR="00B17714" w:rsidRDefault="00000000">
      <w:pPr>
        <w:pStyle w:val="a4"/>
        <w:numPr>
          <w:ilvl w:val="0"/>
          <w:numId w:val="2"/>
        </w:numPr>
        <w:spacing w:after="80"/>
      </w:pPr>
      <w:r>
        <w:rPr>
          <w:rFonts w:eastAsia="Arial"/>
        </w:rPr>
        <w:t>Regular vulnerability scanning of external-facing systems is conducted at minimum quarterly.</w:t>
      </w:r>
    </w:p>
    <w:p w14:paraId="2AD16915" w14:textId="77777777" w:rsidR="00B17714" w:rsidRDefault="00000000">
      <w:pPr>
        <w:pStyle w:val="a4"/>
        <w:numPr>
          <w:ilvl w:val="0"/>
          <w:numId w:val="2"/>
        </w:numPr>
        <w:spacing w:after="80"/>
      </w:pPr>
      <w:r>
        <w:rPr>
          <w:rFonts w:eastAsia="Arial"/>
        </w:rPr>
        <w:t>Penetration testing is conducted annually by an independent third-party security firm.</w:t>
      </w:r>
    </w:p>
    <w:p w14:paraId="3EB90320" w14:textId="77777777" w:rsidR="00B17714" w:rsidRDefault="00000000">
      <w:pPr>
        <w:pStyle w:val="1"/>
        <w:shd w:val="clear" w:color="auto" w:fill="1F4E79"/>
        <w:ind w:left="180"/>
      </w:pPr>
      <w:r>
        <w:t>6.  Cybersecurity Incident Response</w:t>
      </w:r>
    </w:p>
    <w:p w14:paraId="5AB9BAD0" w14:textId="77777777" w:rsidR="00B17714" w:rsidRDefault="00000000">
      <w:pPr>
        <w:pStyle w:val="2"/>
        <w:pBdr>
          <w:bottom w:val="single" w:sz="4" w:space="4" w:color="2E75B6"/>
        </w:pBdr>
      </w:pPr>
      <w:proofErr w:type="gramStart"/>
      <w:r>
        <w:t>6.1  Incident</w:t>
      </w:r>
      <w:proofErr w:type="gramEnd"/>
      <w:r>
        <w:t xml:space="preserve"> Classification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800"/>
        <w:gridCol w:w="2560"/>
        <w:gridCol w:w="2600"/>
      </w:tblGrid>
      <w:tr w:rsidR="00B17714" w14:paraId="58CF133B" w14:textId="77777777">
        <w:trPr>
          <w:tblHeader/>
        </w:trPr>
        <w:tc>
          <w:tcPr>
            <w:tcW w:w="14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2240B5C0" w14:textId="77777777" w:rsidR="00B17714" w:rsidRDefault="00000000">
            <w:r>
              <w:rPr>
                <w:rFonts w:eastAsia="Arial"/>
                <w:b/>
                <w:bCs/>
                <w:color w:val="FFFFFF"/>
                <w:sz w:val="19"/>
                <w:szCs w:val="19"/>
              </w:rPr>
              <w:t>Level</w:t>
            </w:r>
          </w:p>
        </w:tc>
        <w:tc>
          <w:tcPr>
            <w:tcW w:w="28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278947B7" w14:textId="77777777" w:rsidR="00B17714" w:rsidRDefault="00000000">
            <w:r>
              <w:rPr>
                <w:rFonts w:eastAsia="Arial"/>
                <w:b/>
                <w:bCs/>
                <w:color w:val="FFFFFF"/>
                <w:sz w:val="19"/>
                <w:szCs w:val="19"/>
              </w:rPr>
              <w:t>Description</w:t>
            </w:r>
          </w:p>
        </w:tc>
        <w:tc>
          <w:tcPr>
            <w:tcW w:w="256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5890FD76" w14:textId="77777777" w:rsidR="00B17714" w:rsidRDefault="00000000">
            <w:r>
              <w:rPr>
                <w:rFonts w:eastAsia="Arial"/>
                <w:b/>
                <w:bCs/>
                <w:color w:val="FFFFFF"/>
                <w:sz w:val="19"/>
                <w:szCs w:val="19"/>
              </w:rPr>
              <w:t>Examples</w:t>
            </w:r>
          </w:p>
        </w:tc>
        <w:tc>
          <w:tcPr>
            <w:tcW w:w="26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4D588ABB" w14:textId="77777777" w:rsidR="00B17714" w:rsidRDefault="00000000">
            <w:r>
              <w:rPr>
                <w:rFonts w:eastAsia="Arial"/>
                <w:b/>
                <w:bCs/>
                <w:color w:val="FFFFFF"/>
                <w:sz w:val="19"/>
                <w:szCs w:val="19"/>
              </w:rPr>
              <w:t>Initial Response Time</w:t>
            </w:r>
          </w:p>
        </w:tc>
      </w:tr>
      <w:tr w:rsidR="00B17714" w14:paraId="79F7C661"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219C79" w14:textId="77777777" w:rsidR="00B17714" w:rsidRDefault="00000000">
            <w:r>
              <w:rPr>
                <w:rFonts w:eastAsia="Arial"/>
                <w:sz w:val="19"/>
                <w:szCs w:val="19"/>
              </w:rPr>
              <w:t>P1 — CRITICAL</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7C7FDB" w14:textId="77777777" w:rsidR="00B17714" w:rsidRDefault="00000000">
            <w:r>
              <w:rPr>
                <w:rFonts w:eastAsia="Arial"/>
                <w:sz w:val="19"/>
                <w:szCs w:val="19"/>
              </w:rPr>
              <w:t>Major breach with potential regulatory notification obligation</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41F3B7" w14:textId="77777777" w:rsidR="00B17714" w:rsidRDefault="00000000">
            <w:r>
              <w:rPr>
                <w:rFonts w:eastAsia="Arial"/>
                <w:sz w:val="19"/>
                <w:szCs w:val="19"/>
              </w:rPr>
              <w:t>Client data exfiltration, ransomware</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2F7066" w14:textId="77777777" w:rsidR="00B17714" w:rsidRDefault="00000000">
            <w:r>
              <w:rPr>
                <w:rFonts w:eastAsia="Arial"/>
                <w:sz w:val="19"/>
                <w:szCs w:val="19"/>
              </w:rPr>
              <w:t>Immediate — within 1 hour</w:t>
            </w:r>
          </w:p>
        </w:tc>
      </w:tr>
      <w:tr w:rsidR="00B17714" w14:paraId="0BE709D7" w14:textId="77777777">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1826276" w14:textId="77777777" w:rsidR="00B17714" w:rsidRDefault="00000000">
            <w:r>
              <w:rPr>
                <w:rFonts w:eastAsia="Arial"/>
                <w:sz w:val="19"/>
                <w:szCs w:val="19"/>
              </w:rPr>
              <w:t>P2 — HIGH</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2082002" w14:textId="77777777" w:rsidR="00B17714" w:rsidRDefault="00000000">
            <w:r>
              <w:rPr>
                <w:rFonts w:eastAsia="Arial"/>
                <w:sz w:val="19"/>
                <w:szCs w:val="19"/>
              </w:rPr>
              <w:t>Significant breach or system compromise</w:t>
            </w:r>
          </w:p>
        </w:tc>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3CC0D015" w14:textId="77777777" w:rsidR="00B17714" w:rsidRDefault="00000000">
            <w:r>
              <w:rPr>
                <w:rFonts w:eastAsia="Arial"/>
                <w:sz w:val="19"/>
                <w:szCs w:val="19"/>
              </w:rPr>
              <w:t>Unauthorized privileged access, malware</w:t>
            </w:r>
          </w:p>
        </w:tc>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BFB89EC" w14:textId="77777777" w:rsidR="00B17714" w:rsidRDefault="00000000">
            <w:r>
              <w:rPr>
                <w:rFonts w:eastAsia="Arial"/>
                <w:sz w:val="19"/>
                <w:szCs w:val="19"/>
              </w:rPr>
              <w:t>Within 4 hours</w:t>
            </w:r>
          </w:p>
        </w:tc>
      </w:tr>
      <w:tr w:rsidR="00B17714" w14:paraId="114DFF8A"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712E2F" w14:textId="77777777" w:rsidR="00B17714" w:rsidRDefault="00000000">
            <w:r>
              <w:rPr>
                <w:rFonts w:eastAsia="Arial"/>
                <w:sz w:val="19"/>
                <w:szCs w:val="19"/>
              </w:rPr>
              <w:t>P3 — MEDIUM</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0599F0" w14:textId="77777777" w:rsidR="00B17714" w:rsidRDefault="00000000">
            <w:r>
              <w:rPr>
                <w:rFonts w:eastAsia="Arial"/>
                <w:sz w:val="19"/>
                <w:szCs w:val="19"/>
              </w:rPr>
              <w:t>Suspected breach or policy violation</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EF765C" w14:textId="77777777" w:rsidR="00B17714" w:rsidRDefault="00000000">
            <w:r>
              <w:rPr>
                <w:rFonts w:eastAsia="Arial"/>
                <w:sz w:val="19"/>
                <w:szCs w:val="19"/>
              </w:rPr>
              <w:t xml:space="preserve">Phishing </w:t>
            </w:r>
            <w:proofErr w:type="gramStart"/>
            <w:r>
              <w:rPr>
                <w:rFonts w:eastAsia="Arial"/>
                <w:sz w:val="19"/>
                <w:szCs w:val="19"/>
              </w:rPr>
              <w:t>click</w:t>
            </w:r>
            <w:proofErr w:type="gramEnd"/>
            <w:r>
              <w:rPr>
                <w:rFonts w:eastAsia="Arial"/>
                <w:sz w:val="19"/>
                <w:szCs w:val="19"/>
              </w:rPr>
              <w:t>, suspicious access</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9C9007" w14:textId="77777777" w:rsidR="00B17714" w:rsidRDefault="00000000">
            <w:r>
              <w:rPr>
                <w:rFonts w:eastAsia="Arial"/>
                <w:sz w:val="19"/>
                <w:szCs w:val="19"/>
              </w:rPr>
              <w:t>Within 24 hours</w:t>
            </w:r>
          </w:p>
        </w:tc>
      </w:tr>
      <w:tr w:rsidR="00B17714" w14:paraId="2A07D866" w14:textId="77777777">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850FDF0" w14:textId="77777777" w:rsidR="00B17714" w:rsidRDefault="00000000">
            <w:r>
              <w:rPr>
                <w:rFonts w:eastAsia="Arial"/>
                <w:sz w:val="19"/>
                <w:szCs w:val="19"/>
              </w:rPr>
              <w:lastRenderedPageBreak/>
              <w:t>P4 — LOW</w:t>
            </w:r>
          </w:p>
        </w:tc>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62ADD5B" w14:textId="77777777" w:rsidR="00B17714" w:rsidRDefault="00000000">
            <w:r>
              <w:rPr>
                <w:rFonts w:eastAsia="Arial"/>
                <w:sz w:val="19"/>
                <w:szCs w:val="19"/>
              </w:rPr>
              <w:t>Near-miss or minor policy violation</w:t>
            </w:r>
          </w:p>
        </w:tc>
        <w:tc>
          <w:tcPr>
            <w:tcW w:w="25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457AC333" w14:textId="77777777" w:rsidR="00B17714" w:rsidRDefault="00000000">
            <w:r>
              <w:rPr>
                <w:rFonts w:eastAsia="Arial"/>
                <w:sz w:val="19"/>
                <w:szCs w:val="19"/>
              </w:rPr>
              <w:t>Lost USB (unencrypted), weak password</w:t>
            </w:r>
          </w:p>
        </w:tc>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19F5EE3" w14:textId="77777777" w:rsidR="00B17714" w:rsidRDefault="00000000">
            <w:r>
              <w:rPr>
                <w:rFonts w:eastAsia="Arial"/>
                <w:sz w:val="19"/>
                <w:szCs w:val="19"/>
              </w:rPr>
              <w:t>Within 72 hours</w:t>
            </w:r>
          </w:p>
        </w:tc>
      </w:tr>
    </w:tbl>
    <w:p w14:paraId="0A0581CC" w14:textId="77777777" w:rsidR="00B17714" w:rsidRDefault="00B17714">
      <w:pPr>
        <w:spacing w:after="120"/>
      </w:pPr>
    </w:p>
    <w:p w14:paraId="10512031" w14:textId="77777777" w:rsidR="00B17714" w:rsidRDefault="00000000">
      <w:pPr>
        <w:pStyle w:val="2"/>
        <w:pBdr>
          <w:bottom w:val="single" w:sz="4" w:space="4" w:color="2E75B6"/>
        </w:pBdr>
      </w:pPr>
      <w:proofErr w:type="gramStart"/>
      <w:r>
        <w:t>6.2  Incident</w:t>
      </w:r>
      <w:proofErr w:type="gramEnd"/>
      <w:r>
        <w:t xml:space="preserve"> Response Steps</w:t>
      </w:r>
    </w:p>
    <w:p w14:paraId="134CAA4E" w14:textId="77777777" w:rsidR="00B17714" w:rsidRDefault="00000000">
      <w:pPr>
        <w:pStyle w:val="a4"/>
        <w:numPr>
          <w:ilvl w:val="0"/>
          <w:numId w:val="2"/>
        </w:numPr>
        <w:spacing w:after="80"/>
      </w:pPr>
      <w:r>
        <w:rPr>
          <w:rFonts w:eastAsia="Arial"/>
        </w:rPr>
        <w:t>DETECT: Any staff member who identifies a suspected incident must immediately notify the IT Administrator and Compliance Officer via the designated incident hotline/email.</w:t>
      </w:r>
    </w:p>
    <w:p w14:paraId="7F2E3624" w14:textId="77777777" w:rsidR="00B17714" w:rsidRDefault="00000000">
      <w:pPr>
        <w:pStyle w:val="a4"/>
        <w:numPr>
          <w:ilvl w:val="0"/>
          <w:numId w:val="2"/>
        </w:numPr>
        <w:spacing w:after="80"/>
      </w:pPr>
      <w:r>
        <w:rPr>
          <w:rFonts w:eastAsia="Arial"/>
        </w:rPr>
        <w:t>CONTAIN: IT Administrator isolates affected systems to prevent further damage.</w:t>
      </w:r>
    </w:p>
    <w:p w14:paraId="2AE0120B" w14:textId="77777777" w:rsidR="00B17714" w:rsidRDefault="00000000">
      <w:pPr>
        <w:pStyle w:val="a4"/>
        <w:numPr>
          <w:ilvl w:val="0"/>
          <w:numId w:val="2"/>
        </w:numPr>
        <w:spacing w:after="80"/>
      </w:pPr>
      <w:r>
        <w:rPr>
          <w:rFonts w:eastAsia="Arial"/>
        </w:rPr>
        <w:t>ASSESS: Compliance Officer and IT Administrator jointly assess scope of breach, data types affected, and regulatory obligations.</w:t>
      </w:r>
    </w:p>
    <w:p w14:paraId="7120F959" w14:textId="77777777" w:rsidR="00B17714" w:rsidRDefault="00000000">
      <w:pPr>
        <w:pStyle w:val="a4"/>
        <w:numPr>
          <w:ilvl w:val="0"/>
          <w:numId w:val="2"/>
        </w:numPr>
        <w:spacing w:after="80"/>
      </w:pPr>
      <w:r>
        <w:rPr>
          <w:rFonts w:eastAsia="Arial"/>
        </w:rPr>
        <w:t>NOTIFY: If personal data has been involved, Compliance Officer assesses obligation to notify OAIC under the Notifiable Data Breaches scheme (Privacy Act 1988). Where transaction data is involved, AUSTRAC notification may be required.</w:t>
      </w:r>
    </w:p>
    <w:p w14:paraId="190AC4DE" w14:textId="77777777" w:rsidR="00B17714" w:rsidRDefault="00000000">
      <w:pPr>
        <w:pStyle w:val="a4"/>
        <w:numPr>
          <w:ilvl w:val="0"/>
          <w:numId w:val="2"/>
        </w:numPr>
        <w:spacing w:after="80"/>
      </w:pPr>
      <w:r>
        <w:rPr>
          <w:rFonts w:eastAsia="Arial"/>
        </w:rPr>
        <w:t>ERADICATE: Root cause identified and eliminated. Systems restored from clean backups.</w:t>
      </w:r>
    </w:p>
    <w:p w14:paraId="4D2F43F3" w14:textId="77777777" w:rsidR="00B17714" w:rsidRDefault="00000000">
      <w:pPr>
        <w:pStyle w:val="a4"/>
        <w:numPr>
          <w:ilvl w:val="0"/>
          <w:numId w:val="2"/>
        </w:numPr>
        <w:spacing w:after="80"/>
      </w:pPr>
      <w:r>
        <w:rPr>
          <w:rFonts w:eastAsia="Arial"/>
        </w:rPr>
        <w:t>RECOVER: Systems restored and verified before returning to production.</w:t>
      </w:r>
    </w:p>
    <w:p w14:paraId="294EB02C" w14:textId="77777777" w:rsidR="00B17714" w:rsidRDefault="00000000">
      <w:pPr>
        <w:pStyle w:val="a4"/>
        <w:numPr>
          <w:ilvl w:val="0"/>
          <w:numId w:val="2"/>
        </w:numPr>
        <w:spacing w:after="80"/>
      </w:pPr>
      <w:r>
        <w:rPr>
          <w:rFonts w:eastAsia="Arial"/>
        </w:rPr>
        <w:t>REVIEW: Post-incident review completed within 5 business days; lessons learned documented.</w:t>
      </w:r>
    </w:p>
    <w:p w14:paraId="4AC95B3B" w14:textId="77777777" w:rsidR="00B17714" w:rsidRDefault="00000000">
      <w:pPr>
        <w:pStyle w:val="2"/>
        <w:pBdr>
          <w:bottom w:val="single" w:sz="4" w:space="4" w:color="2E75B6"/>
        </w:pBdr>
      </w:pPr>
      <w:proofErr w:type="gramStart"/>
      <w:r>
        <w:t>6.3  Regulatory</w:t>
      </w:r>
      <w:proofErr w:type="gramEnd"/>
      <w:r>
        <w:t xml:space="preserve"> Notification Timelines</w:t>
      </w:r>
    </w:p>
    <w:p w14:paraId="29BDB8B5" w14:textId="77777777" w:rsidR="00B17714" w:rsidRDefault="00000000">
      <w:pPr>
        <w:pStyle w:val="a4"/>
        <w:numPr>
          <w:ilvl w:val="0"/>
          <w:numId w:val="2"/>
        </w:numPr>
        <w:spacing w:after="80"/>
      </w:pPr>
      <w:r>
        <w:rPr>
          <w:rFonts w:eastAsia="Arial"/>
        </w:rPr>
        <w:t>OAIC Notifiable Data Breach: Notification required within 30 days of becoming aware that an eligible data breach has occurred (Privacy Act s.26WH).</w:t>
      </w:r>
    </w:p>
    <w:p w14:paraId="6E63BC29" w14:textId="77777777" w:rsidR="00B17714" w:rsidRDefault="00000000">
      <w:pPr>
        <w:pStyle w:val="a4"/>
        <w:numPr>
          <w:ilvl w:val="0"/>
          <w:numId w:val="2"/>
        </w:numPr>
        <w:spacing w:after="80"/>
      </w:pPr>
      <w:r>
        <w:rPr>
          <w:rFonts w:eastAsia="Arial"/>
        </w:rPr>
        <w:t>AUSTRAC: Incident affecting AML/CTF compliance capability must be notified to AUSTRAC in accordance with regulatory engagement obligations.</w:t>
      </w:r>
    </w:p>
    <w:p w14:paraId="03366AE2" w14:textId="77777777" w:rsidR="00B17714" w:rsidRDefault="00000000">
      <w:r>
        <w:br w:type="page"/>
      </w:r>
    </w:p>
    <w:p w14:paraId="59AF087D" w14:textId="77777777" w:rsidR="00B17714" w:rsidRDefault="00000000">
      <w:pPr>
        <w:pStyle w:val="1"/>
        <w:shd w:val="clear" w:color="auto" w:fill="1F4E79"/>
        <w:ind w:left="180"/>
      </w:pPr>
      <w:r>
        <w:lastRenderedPageBreak/>
        <w:t>7.  Security Controls Matrix</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3600"/>
        <w:gridCol w:w="3200"/>
        <w:gridCol w:w="1760"/>
      </w:tblGrid>
      <w:tr w:rsidR="00B17714" w14:paraId="72CF451D" w14:textId="77777777">
        <w:trPr>
          <w:tblHeader/>
        </w:trPr>
        <w:tc>
          <w:tcPr>
            <w:tcW w:w="8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2AE57995" w14:textId="77777777" w:rsidR="00B17714" w:rsidRDefault="00000000">
            <w:r>
              <w:rPr>
                <w:rFonts w:eastAsia="Arial"/>
                <w:b/>
                <w:bCs/>
                <w:color w:val="FFFFFF"/>
                <w:sz w:val="19"/>
                <w:szCs w:val="19"/>
              </w:rPr>
              <w:t>Ctrl ID</w:t>
            </w:r>
          </w:p>
        </w:tc>
        <w:tc>
          <w:tcPr>
            <w:tcW w:w="36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40760F43" w14:textId="77777777" w:rsidR="00B17714" w:rsidRDefault="00000000">
            <w:r>
              <w:rPr>
                <w:rFonts w:eastAsia="Arial"/>
                <w:b/>
                <w:bCs/>
                <w:color w:val="FFFFFF"/>
                <w:sz w:val="19"/>
                <w:szCs w:val="19"/>
              </w:rPr>
              <w:t>Security Control</w:t>
            </w:r>
          </w:p>
        </w:tc>
        <w:tc>
          <w:tcPr>
            <w:tcW w:w="320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0C3457C8" w14:textId="77777777" w:rsidR="00B17714" w:rsidRDefault="00000000">
            <w:r>
              <w:rPr>
                <w:rFonts w:eastAsia="Arial"/>
                <w:b/>
                <w:bCs/>
                <w:color w:val="FFFFFF"/>
                <w:sz w:val="19"/>
                <w:szCs w:val="19"/>
              </w:rPr>
              <w:t>Requirement / Standard</w:t>
            </w:r>
          </w:p>
        </w:tc>
        <w:tc>
          <w:tcPr>
            <w:tcW w:w="1760"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tcPr>
          <w:p w14:paraId="4F185059" w14:textId="77777777" w:rsidR="00B17714" w:rsidRDefault="00000000">
            <w:r>
              <w:rPr>
                <w:rFonts w:eastAsia="Arial"/>
                <w:b/>
                <w:bCs/>
                <w:color w:val="FFFFFF"/>
                <w:sz w:val="19"/>
                <w:szCs w:val="19"/>
              </w:rPr>
              <w:t>Status</w:t>
            </w:r>
          </w:p>
        </w:tc>
      </w:tr>
      <w:tr w:rsidR="00B17714" w14:paraId="4E9FED90"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9B6120" w14:textId="77777777" w:rsidR="00B17714" w:rsidRDefault="00000000">
            <w:r>
              <w:rPr>
                <w:rFonts w:eastAsia="Arial"/>
                <w:b/>
                <w:bCs/>
                <w:sz w:val="19"/>
                <w:szCs w:val="19"/>
              </w:rPr>
              <w:t>SC-01</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E9B835" w14:textId="77777777" w:rsidR="00B17714" w:rsidRDefault="00000000">
            <w:r>
              <w:rPr>
                <w:rFonts w:eastAsia="Arial"/>
                <w:sz w:val="19"/>
                <w:szCs w:val="19"/>
              </w:rPr>
              <w:t>Multi-factor authentication on all critical systems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4C89D7" w14:textId="77777777" w:rsidR="00B17714" w:rsidRDefault="00000000">
            <w:r>
              <w:rPr>
                <w:rFonts w:eastAsia="Arial"/>
                <w:sz w:val="19"/>
                <w:szCs w:val="19"/>
              </w:rPr>
              <w:t>Mandatory for all cloud/compliance/banking systems</w:t>
            </w:r>
          </w:p>
        </w:tc>
        <w:tc>
          <w:tcPr>
            <w:tcW w:w="15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2F50ECFA" w14:textId="77777777" w:rsidR="00B17714" w:rsidRDefault="00000000">
            <w:r>
              <w:rPr>
                <w:rFonts w:eastAsia="Arial"/>
                <w:b/>
                <w:bCs/>
                <w:color w:val="375623"/>
                <w:sz w:val="19"/>
                <w:szCs w:val="19"/>
              </w:rPr>
              <w:t>IMPLEMENTED</w:t>
            </w:r>
          </w:p>
        </w:tc>
      </w:tr>
      <w:tr w:rsidR="00B17714" w14:paraId="56EB534A"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6996BC" w14:textId="77777777" w:rsidR="00B17714" w:rsidRDefault="00000000">
            <w:r>
              <w:rPr>
                <w:rFonts w:eastAsia="Arial"/>
                <w:b/>
                <w:bCs/>
                <w:sz w:val="19"/>
                <w:szCs w:val="19"/>
              </w:rPr>
              <w:t>SC-02</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C899F1" w14:textId="77777777" w:rsidR="00B17714" w:rsidRDefault="00000000">
            <w:r>
              <w:rPr>
                <w:rFonts w:eastAsia="Arial"/>
                <w:sz w:val="19"/>
                <w:szCs w:val="19"/>
              </w:rPr>
              <w:t>AES-256 encryption at rest for CONFIDENTIAL data</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C67EC0" w14:textId="77777777" w:rsidR="00B17714" w:rsidRDefault="00000000">
            <w:r>
              <w:rPr>
                <w:rFonts w:eastAsia="Arial"/>
                <w:sz w:val="19"/>
                <w:szCs w:val="19"/>
              </w:rPr>
              <w:t>All client PII, transaction records, compliance files</w:t>
            </w:r>
          </w:p>
        </w:tc>
        <w:tc>
          <w:tcPr>
            <w:tcW w:w="15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38F9818A" w14:textId="77777777" w:rsidR="00B17714" w:rsidRDefault="00000000">
            <w:r>
              <w:rPr>
                <w:rFonts w:eastAsia="Arial"/>
                <w:b/>
                <w:bCs/>
                <w:color w:val="375623"/>
                <w:sz w:val="19"/>
                <w:szCs w:val="19"/>
              </w:rPr>
              <w:t>IMPLEMENTED</w:t>
            </w:r>
          </w:p>
        </w:tc>
      </w:tr>
      <w:tr w:rsidR="00B17714" w14:paraId="4F679D9B"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E714A7" w14:textId="77777777" w:rsidR="00B17714" w:rsidRDefault="00000000">
            <w:r>
              <w:rPr>
                <w:rFonts w:eastAsia="Arial"/>
                <w:b/>
                <w:bCs/>
                <w:sz w:val="19"/>
                <w:szCs w:val="19"/>
              </w:rPr>
              <w:t>SC-03</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100B2E" w14:textId="77777777" w:rsidR="00B17714" w:rsidRDefault="00000000">
            <w:r>
              <w:rPr>
                <w:rFonts w:eastAsia="Arial"/>
                <w:sz w:val="19"/>
                <w:szCs w:val="19"/>
              </w:rPr>
              <w:t>TLS 1.2+ encryption in transit</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89CC9C" w14:textId="77777777" w:rsidR="00B17714" w:rsidRDefault="00000000">
            <w:r>
              <w:rPr>
                <w:rFonts w:eastAsia="Arial"/>
                <w:sz w:val="19"/>
                <w:szCs w:val="19"/>
              </w:rPr>
              <w:t>All external API communications and email</w:t>
            </w:r>
          </w:p>
        </w:tc>
        <w:tc>
          <w:tcPr>
            <w:tcW w:w="15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237B61E7" w14:textId="77777777" w:rsidR="00B17714" w:rsidRDefault="00000000">
            <w:r>
              <w:rPr>
                <w:rFonts w:eastAsia="Arial"/>
                <w:b/>
                <w:bCs/>
                <w:color w:val="375623"/>
                <w:sz w:val="19"/>
                <w:szCs w:val="19"/>
              </w:rPr>
              <w:t>IMPLEMENTED</w:t>
            </w:r>
          </w:p>
        </w:tc>
      </w:tr>
      <w:tr w:rsidR="00B17714" w14:paraId="438A0284"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16101C" w14:textId="77777777" w:rsidR="00B17714" w:rsidRDefault="00000000">
            <w:r>
              <w:rPr>
                <w:rFonts w:eastAsia="Arial"/>
                <w:b/>
                <w:bCs/>
                <w:sz w:val="19"/>
                <w:szCs w:val="19"/>
              </w:rPr>
              <w:t>SC-04</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74E2FB" w14:textId="77777777" w:rsidR="00B17714" w:rsidRDefault="00000000">
            <w:r>
              <w:rPr>
                <w:rFonts w:eastAsia="Arial"/>
                <w:sz w:val="19"/>
                <w:szCs w:val="19"/>
              </w:rPr>
              <w:t>Role-based access control (RBAC)</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3484BD" w14:textId="77777777" w:rsidR="00B17714" w:rsidRDefault="00000000">
            <w:r>
              <w:rPr>
                <w:rFonts w:eastAsia="Arial"/>
                <w:sz w:val="19"/>
                <w:szCs w:val="19"/>
              </w:rPr>
              <w:t>Least privilege principle; access reviewed annually</w:t>
            </w:r>
          </w:p>
        </w:tc>
        <w:tc>
          <w:tcPr>
            <w:tcW w:w="15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56D4FA0F" w14:textId="77777777" w:rsidR="00B17714" w:rsidRDefault="00000000">
            <w:r>
              <w:rPr>
                <w:rFonts w:eastAsia="Arial"/>
                <w:b/>
                <w:bCs/>
                <w:color w:val="375623"/>
                <w:sz w:val="19"/>
                <w:szCs w:val="19"/>
              </w:rPr>
              <w:t>IMPLEMENTED</w:t>
            </w:r>
          </w:p>
        </w:tc>
      </w:tr>
      <w:tr w:rsidR="00B17714" w14:paraId="0516DCF8"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8F6AEE" w14:textId="77777777" w:rsidR="00B17714" w:rsidRDefault="00000000">
            <w:r>
              <w:rPr>
                <w:rFonts w:eastAsia="Arial"/>
                <w:b/>
                <w:bCs/>
                <w:sz w:val="19"/>
                <w:szCs w:val="19"/>
              </w:rPr>
              <w:t>SC-05</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05F24B" w14:textId="77777777" w:rsidR="00B17714" w:rsidRDefault="00000000">
            <w:r>
              <w:rPr>
                <w:rFonts w:eastAsia="Arial"/>
                <w:sz w:val="19"/>
                <w:szCs w:val="19"/>
              </w:rPr>
              <w:t>Next-generation firewall</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2D0C2D" w14:textId="77777777" w:rsidR="00B17714" w:rsidRDefault="00000000">
            <w:r>
              <w:rPr>
                <w:rFonts w:eastAsia="Arial"/>
                <w:sz w:val="19"/>
                <w:szCs w:val="19"/>
              </w:rPr>
              <w:t>Perimeter network protection; deny-by-default rule</w:t>
            </w:r>
          </w:p>
        </w:tc>
        <w:tc>
          <w:tcPr>
            <w:tcW w:w="15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3F38E786" w14:textId="77777777" w:rsidR="00B17714" w:rsidRDefault="00000000">
            <w:r>
              <w:rPr>
                <w:rFonts w:eastAsia="Arial"/>
                <w:b/>
                <w:bCs/>
                <w:color w:val="375623"/>
                <w:sz w:val="19"/>
                <w:szCs w:val="19"/>
              </w:rPr>
              <w:t>IMPLEMENTED</w:t>
            </w:r>
          </w:p>
        </w:tc>
      </w:tr>
      <w:tr w:rsidR="00B17714" w14:paraId="7B0706D4"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27CF0A" w14:textId="77777777" w:rsidR="00B17714" w:rsidRDefault="00000000">
            <w:r>
              <w:rPr>
                <w:rFonts w:eastAsia="Arial"/>
                <w:b/>
                <w:bCs/>
                <w:sz w:val="19"/>
                <w:szCs w:val="19"/>
              </w:rPr>
              <w:t>SC-06</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3E8E45" w14:textId="77777777" w:rsidR="00B17714" w:rsidRDefault="00000000">
            <w:r>
              <w:rPr>
                <w:rFonts w:eastAsia="Arial"/>
                <w:sz w:val="19"/>
                <w:szCs w:val="19"/>
              </w:rPr>
              <w:t>IDS/IPS system</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E4CC86" w14:textId="77777777" w:rsidR="00B17714" w:rsidRDefault="00000000">
            <w:r>
              <w:rPr>
                <w:rFonts w:eastAsia="Arial"/>
                <w:sz w:val="19"/>
                <w:szCs w:val="19"/>
              </w:rPr>
              <w:t>Perimeter and internal network monitoring</w:t>
            </w:r>
          </w:p>
        </w:tc>
        <w:tc>
          <w:tcPr>
            <w:tcW w:w="15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15871A42" w14:textId="77777777" w:rsidR="00B17714" w:rsidRDefault="00000000">
            <w:r>
              <w:rPr>
                <w:rFonts w:eastAsia="Arial"/>
                <w:b/>
                <w:bCs/>
                <w:color w:val="375623"/>
                <w:sz w:val="19"/>
                <w:szCs w:val="19"/>
              </w:rPr>
              <w:t>IMPLEMENTED</w:t>
            </w:r>
          </w:p>
        </w:tc>
      </w:tr>
      <w:tr w:rsidR="00B17714" w14:paraId="6BFA0FDF"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9DDD56" w14:textId="77777777" w:rsidR="00B17714" w:rsidRDefault="00000000">
            <w:r>
              <w:rPr>
                <w:rFonts w:eastAsia="Arial"/>
                <w:b/>
                <w:bCs/>
                <w:sz w:val="19"/>
                <w:szCs w:val="19"/>
              </w:rPr>
              <w:t>SC-07</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4122DA" w14:textId="77777777" w:rsidR="00B17714" w:rsidRDefault="00000000">
            <w:r>
              <w:rPr>
                <w:rFonts w:eastAsia="Arial"/>
                <w:sz w:val="19"/>
                <w:szCs w:val="19"/>
              </w:rPr>
              <w:t>Full-disk encryption on mobile devices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E2F3A5" w14:textId="77777777" w:rsidR="00B17714" w:rsidRDefault="00000000">
            <w:r>
              <w:rPr>
                <w:rFonts w:eastAsia="Arial"/>
                <w:sz w:val="19"/>
                <w:szCs w:val="19"/>
              </w:rPr>
              <w:t>All laptops and company mobile devices</w:t>
            </w:r>
          </w:p>
        </w:tc>
        <w:tc>
          <w:tcPr>
            <w:tcW w:w="15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34A9AA61" w14:textId="77777777" w:rsidR="00B17714" w:rsidRDefault="00000000">
            <w:r>
              <w:rPr>
                <w:rFonts w:eastAsia="Arial"/>
                <w:b/>
                <w:bCs/>
                <w:color w:val="375623"/>
                <w:sz w:val="19"/>
                <w:szCs w:val="19"/>
              </w:rPr>
              <w:t>IMPLEMENTED</w:t>
            </w:r>
          </w:p>
        </w:tc>
      </w:tr>
      <w:tr w:rsidR="00B17714" w14:paraId="374C9BF6"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3FC689" w14:textId="77777777" w:rsidR="00B17714" w:rsidRDefault="00000000">
            <w:r>
              <w:rPr>
                <w:rFonts w:eastAsia="Arial"/>
                <w:b/>
                <w:bCs/>
                <w:sz w:val="19"/>
                <w:szCs w:val="19"/>
              </w:rPr>
              <w:t>SC-08</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B05E97" w14:textId="77777777" w:rsidR="00B17714" w:rsidRDefault="00000000">
            <w:r>
              <w:rPr>
                <w:rFonts w:eastAsia="Arial"/>
                <w:sz w:val="19"/>
                <w:szCs w:val="19"/>
              </w:rPr>
              <w:t>Quarterly vulnerability scans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29CB8E" w14:textId="77777777" w:rsidR="00B17714" w:rsidRDefault="00000000">
            <w:r>
              <w:rPr>
                <w:rFonts w:eastAsia="Arial"/>
                <w:sz w:val="19"/>
                <w:szCs w:val="19"/>
              </w:rPr>
              <w:t>External-facing systems; remediation within 30 days for high/critical</w:t>
            </w:r>
          </w:p>
        </w:tc>
        <w:tc>
          <w:tcPr>
            <w:tcW w:w="15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1372D471" w14:textId="77777777" w:rsidR="00B17714" w:rsidRDefault="00000000">
            <w:r>
              <w:rPr>
                <w:rFonts w:eastAsia="Arial"/>
                <w:b/>
                <w:bCs/>
                <w:color w:val="375623"/>
                <w:sz w:val="19"/>
                <w:szCs w:val="19"/>
              </w:rPr>
              <w:t>IMPLEMENTED</w:t>
            </w:r>
          </w:p>
        </w:tc>
      </w:tr>
      <w:tr w:rsidR="00B17714" w14:paraId="700F4A0C"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080CF4" w14:textId="77777777" w:rsidR="00B17714" w:rsidRDefault="00000000">
            <w:r>
              <w:rPr>
                <w:rFonts w:eastAsia="Arial"/>
                <w:b/>
                <w:bCs/>
                <w:sz w:val="19"/>
                <w:szCs w:val="19"/>
              </w:rPr>
              <w:t>SC-09</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E5A548" w14:textId="77777777" w:rsidR="00B17714" w:rsidRDefault="00000000">
            <w:r>
              <w:rPr>
                <w:rFonts w:eastAsia="Arial"/>
                <w:sz w:val="19"/>
                <w:szCs w:val="19"/>
              </w:rPr>
              <w:t>Annual penetration testing</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02C7A6" w14:textId="77777777" w:rsidR="00B17714" w:rsidRDefault="00000000">
            <w:r>
              <w:rPr>
                <w:rFonts w:eastAsia="Arial"/>
                <w:sz w:val="19"/>
                <w:szCs w:val="19"/>
              </w:rPr>
              <w:t>Independent third-party; scope includes cloud and internal systems</w:t>
            </w:r>
          </w:p>
        </w:tc>
        <w:tc>
          <w:tcPr>
            <w:tcW w:w="15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32B1F4F6" w14:textId="77777777" w:rsidR="00B17714" w:rsidRDefault="00000000">
            <w:r>
              <w:rPr>
                <w:rFonts w:eastAsia="Arial"/>
                <w:b/>
                <w:bCs/>
                <w:color w:val="375623"/>
                <w:sz w:val="19"/>
                <w:szCs w:val="19"/>
              </w:rPr>
              <w:t>IMPLEMENTED</w:t>
            </w:r>
          </w:p>
        </w:tc>
      </w:tr>
      <w:tr w:rsidR="00B17714" w14:paraId="1566C7B4"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988F8B" w14:textId="77777777" w:rsidR="00B17714" w:rsidRDefault="00000000">
            <w:r>
              <w:rPr>
                <w:rFonts w:eastAsia="Arial"/>
                <w:b/>
                <w:bCs/>
                <w:sz w:val="19"/>
                <w:szCs w:val="19"/>
              </w:rPr>
              <w:t>SC-10</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C7919A" w14:textId="77777777" w:rsidR="00B17714" w:rsidRDefault="00000000">
            <w:r>
              <w:rPr>
                <w:rFonts w:eastAsia="Arial"/>
                <w:sz w:val="19"/>
                <w:szCs w:val="19"/>
              </w:rPr>
              <w:t>Automated access de-provisioning on termination</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298D13" w14:textId="77777777" w:rsidR="00B17714" w:rsidRDefault="00000000">
            <w:r>
              <w:rPr>
                <w:rFonts w:eastAsia="Arial"/>
                <w:sz w:val="19"/>
                <w:szCs w:val="19"/>
              </w:rPr>
              <w:t>Access revoked within 4 hours of departure</w:t>
            </w:r>
          </w:p>
        </w:tc>
        <w:tc>
          <w:tcPr>
            <w:tcW w:w="15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4415DA5C" w14:textId="77777777" w:rsidR="00B17714" w:rsidRDefault="00000000">
            <w:r>
              <w:rPr>
                <w:rFonts w:eastAsia="Arial"/>
                <w:b/>
                <w:bCs/>
                <w:color w:val="375623"/>
                <w:sz w:val="19"/>
                <w:szCs w:val="19"/>
              </w:rPr>
              <w:t>IMPLEMENTED</w:t>
            </w:r>
          </w:p>
        </w:tc>
      </w:tr>
      <w:tr w:rsidR="00B17714" w14:paraId="786960F7"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07F46C" w14:textId="77777777" w:rsidR="00B17714" w:rsidRDefault="00000000">
            <w:r>
              <w:rPr>
                <w:rFonts w:eastAsia="Arial"/>
                <w:b/>
                <w:bCs/>
                <w:sz w:val="19"/>
                <w:szCs w:val="19"/>
              </w:rPr>
              <w:t>SC-11</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389746" w14:textId="77777777" w:rsidR="00B17714" w:rsidRDefault="00000000">
            <w:r>
              <w:rPr>
                <w:rFonts w:eastAsia="Arial"/>
                <w:sz w:val="19"/>
                <w:szCs w:val="19"/>
              </w:rPr>
              <w:t>Security awareness training (annual)</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100936" w14:textId="77777777" w:rsidR="00B17714" w:rsidRDefault="00000000">
            <w:r>
              <w:rPr>
                <w:rFonts w:eastAsia="Arial"/>
                <w:sz w:val="19"/>
                <w:szCs w:val="19"/>
              </w:rPr>
              <w:t>All staff; phishing simulation included</w:t>
            </w:r>
          </w:p>
        </w:tc>
        <w:tc>
          <w:tcPr>
            <w:tcW w:w="15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5B3E199C" w14:textId="77777777" w:rsidR="00B17714" w:rsidRDefault="00000000">
            <w:r>
              <w:rPr>
                <w:rFonts w:eastAsia="Arial"/>
                <w:b/>
                <w:bCs/>
                <w:color w:val="375623"/>
                <w:sz w:val="19"/>
                <w:szCs w:val="19"/>
              </w:rPr>
              <w:t>IMPLEMENTED</w:t>
            </w:r>
          </w:p>
        </w:tc>
      </w:tr>
      <w:tr w:rsidR="00B17714" w14:paraId="51EE6493"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B9E820" w14:textId="77777777" w:rsidR="00B17714" w:rsidRDefault="00000000">
            <w:r>
              <w:rPr>
                <w:rFonts w:eastAsia="Arial"/>
                <w:b/>
                <w:bCs/>
                <w:sz w:val="19"/>
                <w:szCs w:val="19"/>
              </w:rPr>
              <w:t>SC-12</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0B1254" w14:textId="77777777" w:rsidR="00B17714" w:rsidRDefault="00000000">
            <w:r>
              <w:rPr>
                <w:rFonts w:eastAsia="Arial"/>
                <w:sz w:val="19"/>
                <w:szCs w:val="19"/>
              </w:rPr>
              <w:t>Security incident log (tamper-evident)</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CB005A" w14:textId="77777777" w:rsidR="00B17714" w:rsidRDefault="00000000">
            <w:r>
              <w:rPr>
                <w:rFonts w:eastAsia="Arial"/>
                <w:sz w:val="19"/>
                <w:szCs w:val="19"/>
              </w:rPr>
              <w:t>All incidents P1–P4 recorded and reviewed quarterly</w:t>
            </w:r>
          </w:p>
        </w:tc>
        <w:tc>
          <w:tcPr>
            <w:tcW w:w="15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3DD93C63" w14:textId="77777777" w:rsidR="00B17714" w:rsidRDefault="00000000">
            <w:r>
              <w:rPr>
                <w:rFonts w:eastAsia="Arial"/>
                <w:b/>
                <w:bCs/>
                <w:color w:val="375623"/>
                <w:sz w:val="19"/>
                <w:szCs w:val="19"/>
              </w:rPr>
              <w:t>IMPLEMENTED</w:t>
            </w:r>
          </w:p>
        </w:tc>
      </w:tr>
      <w:tr w:rsidR="00B17714" w14:paraId="223ED5CC"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954799" w14:textId="77777777" w:rsidR="00B17714" w:rsidRDefault="00000000">
            <w:r>
              <w:rPr>
                <w:rFonts w:eastAsia="Arial"/>
                <w:b/>
                <w:bCs/>
                <w:sz w:val="19"/>
                <w:szCs w:val="19"/>
              </w:rPr>
              <w:t>SC-13</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E89D83" w14:textId="77777777" w:rsidR="00B17714" w:rsidRDefault="00000000">
            <w:r>
              <w:rPr>
                <w:rFonts w:eastAsia="Arial"/>
                <w:sz w:val="19"/>
                <w:szCs w:val="19"/>
              </w:rPr>
              <w:t>VPN mandatory for remote access</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EF77C3" w14:textId="77777777" w:rsidR="00B17714" w:rsidRDefault="00000000">
            <w:r>
              <w:rPr>
                <w:rFonts w:eastAsia="Arial"/>
                <w:sz w:val="19"/>
                <w:szCs w:val="19"/>
              </w:rPr>
              <w:t>Enforced by network policy; MFA required</w:t>
            </w:r>
          </w:p>
        </w:tc>
        <w:tc>
          <w:tcPr>
            <w:tcW w:w="1520" w:type="dxa"/>
            <w:tcBorders>
              <w:top w:val="single" w:sz="1" w:space="0" w:color="CCCCCC"/>
              <w:left w:val="single" w:sz="1" w:space="0" w:color="CCCCCC"/>
              <w:bottom w:val="single" w:sz="1" w:space="0" w:color="CCCCCC"/>
              <w:right w:val="single" w:sz="1" w:space="0" w:color="CCCCCC"/>
            </w:tcBorders>
            <w:shd w:val="clear" w:color="auto" w:fill="E2EFDA"/>
            <w:tcMar>
              <w:top w:w="80" w:type="dxa"/>
              <w:left w:w="120" w:type="dxa"/>
              <w:bottom w:w="80" w:type="dxa"/>
              <w:right w:w="120" w:type="dxa"/>
            </w:tcMar>
          </w:tcPr>
          <w:p w14:paraId="21D2777E" w14:textId="77777777" w:rsidR="00B17714" w:rsidRDefault="00000000">
            <w:r>
              <w:rPr>
                <w:rFonts w:eastAsia="Arial"/>
                <w:b/>
                <w:bCs/>
                <w:color w:val="375623"/>
                <w:sz w:val="19"/>
                <w:szCs w:val="19"/>
              </w:rPr>
              <w:t>IMPLEMENTED</w:t>
            </w:r>
          </w:p>
        </w:tc>
      </w:tr>
      <w:tr w:rsidR="00B17714" w14:paraId="6B811754" w14:textId="77777777">
        <w:tc>
          <w:tcPr>
            <w:tcW w:w="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9CAF5A" w14:textId="77777777" w:rsidR="00B17714" w:rsidRDefault="00000000">
            <w:r>
              <w:rPr>
                <w:rFonts w:eastAsia="Arial"/>
                <w:b/>
                <w:bCs/>
                <w:sz w:val="19"/>
                <w:szCs w:val="19"/>
              </w:rPr>
              <w:t>SC-14</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FFEB09" w14:textId="77777777" w:rsidR="00B17714" w:rsidRDefault="00000000">
            <w:r>
              <w:rPr>
                <w:rFonts w:eastAsia="Arial"/>
                <w:sz w:val="19"/>
                <w:szCs w:val="19"/>
              </w:rPr>
              <w:t>ISO 27001 alignment review</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E87BDB" w14:textId="77777777" w:rsidR="00B17714" w:rsidRDefault="00000000">
            <w:r>
              <w:rPr>
                <w:rFonts w:eastAsia="Arial"/>
                <w:sz w:val="19"/>
                <w:szCs w:val="19"/>
              </w:rPr>
              <w:t>Annual gap analysis against ISO/IEC 27001:2022</w:t>
            </w:r>
          </w:p>
        </w:tc>
        <w:tc>
          <w:tcPr>
            <w:tcW w:w="1520" w:type="dxa"/>
            <w:tcBorders>
              <w:top w:val="single" w:sz="1" w:space="0" w:color="CCCCCC"/>
              <w:left w:val="single" w:sz="1" w:space="0" w:color="CCCCCC"/>
              <w:bottom w:val="single" w:sz="1" w:space="0" w:color="CCCCCC"/>
              <w:right w:val="single" w:sz="1" w:space="0" w:color="CCCCCC"/>
            </w:tcBorders>
            <w:shd w:val="clear" w:color="auto" w:fill="FCE4D6"/>
            <w:tcMar>
              <w:top w:w="80" w:type="dxa"/>
              <w:left w:w="120" w:type="dxa"/>
              <w:bottom w:w="80" w:type="dxa"/>
              <w:right w:w="120" w:type="dxa"/>
            </w:tcMar>
          </w:tcPr>
          <w:p w14:paraId="6DE45440" w14:textId="77777777" w:rsidR="00B17714" w:rsidRDefault="00000000">
            <w:r>
              <w:rPr>
                <w:rFonts w:eastAsia="Arial"/>
                <w:b/>
                <w:bCs/>
                <w:color w:val="833C00"/>
                <w:sz w:val="19"/>
                <w:szCs w:val="19"/>
              </w:rPr>
              <w:t>IN PROGRESS</w:t>
            </w:r>
          </w:p>
        </w:tc>
      </w:tr>
    </w:tbl>
    <w:p w14:paraId="5268E9ED" w14:textId="77777777" w:rsidR="00B17714" w:rsidRDefault="00B17714">
      <w:pPr>
        <w:spacing w:after="200"/>
      </w:pPr>
    </w:p>
    <w:p w14:paraId="1DE2FF0B" w14:textId="77777777" w:rsidR="00B17714" w:rsidRDefault="00000000">
      <w:pPr>
        <w:pStyle w:val="1"/>
        <w:shd w:val="clear" w:color="auto" w:fill="1F4E79"/>
        <w:ind w:left="180"/>
      </w:pPr>
      <w:r>
        <w:t>8.  Third-Party and Vendor Security</w:t>
      </w:r>
    </w:p>
    <w:p w14:paraId="285F0996" w14:textId="2313CE58" w:rsidR="00B17714" w:rsidRDefault="00000000">
      <w:pPr>
        <w:pStyle w:val="a4"/>
        <w:numPr>
          <w:ilvl w:val="0"/>
          <w:numId w:val="2"/>
        </w:numPr>
        <w:spacing w:after="80"/>
      </w:pPr>
      <w:r>
        <w:rPr>
          <w:rFonts w:eastAsia="Arial"/>
        </w:rPr>
        <w:t xml:space="preserve">All third-party vendors with access to ELRC systems or data must complete a security assessment before engagement, </w:t>
      </w:r>
      <w:r w:rsidR="00487D9E">
        <w:rPr>
          <w:rFonts w:eastAsia="Arial"/>
        </w:rPr>
        <w:t>including</w:t>
      </w:r>
      <w:r>
        <w:rPr>
          <w:rFonts w:eastAsia="Arial"/>
        </w:rPr>
        <w:t xml:space="preserve"> review of their information security policy, evidence of encryption controls, and data handling commitments.</w:t>
      </w:r>
    </w:p>
    <w:p w14:paraId="60FF88FF" w14:textId="0E2A6650" w:rsidR="00B17714" w:rsidRDefault="00000000">
      <w:pPr>
        <w:pStyle w:val="a4"/>
        <w:numPr>
          <w:ilvl w:val="0"/>
          <w:numId w:val="2"/>
        </w:numPr>
        <w:spacing w:after="80"/>
      </w:pPr>
      <w:proofErr w:type="spellStart"/>
      <w:r>
        <w:rPr>
          <w:rFonts w:eastAsia="Arial"/>
        </w:rPr>
        <w:t>ComplyAdvantage</w:t>
      </w:r>
      <w:proofErr w:type="spellEnd"/>
      <w:r>
        <w:rPr>
          <w:rFonts w:eastAsia="Arial"/>
        </w:rPr>
        <w:t xml:space="preserve">: Security review conducted annually. Data Processing Agreement (DPA) in place. Data hosted in </w:t>
      </w:r>
      <w:r w:rsidR="005537B5" w:rsidRPr="005537B5">
        <w:rPr>
          <w:rFonts w:eastAsia="Arial"/>
        </w:rPr>
        <w:t>United Kingdom / EU (</w:t>
      </w:r>
      <w:proofErr w:type="spellStart"/>
      <w:r w:rsidR="005537B5" w:rsidRPr="005537B5">
        <w:rPr>
          <w:rFonts w:eastAsia="Arial"/>
        </w:rPr>
        <w:t>ComplyAdvantage</w:t>
      </w:r>
      <w:proofErr w:type="spellEnd"/>
      <w:r w:rsidR="005537B5" w:rsidRPr="005537B5">
        <w:rPr>
          <w:rFonts w:eastAsia="Arial"/>
        </w:rPr>
        <w:t xml:space="preserve"> primary data </w:t>
      </w:r>
      <w:r w:rsidR="00487D9E" w:rsidRPr="005537B5">
        <w:rPr>
          <w:rFonts w:eastAsia="Arial"/>
        </w:rPr>
        <w:t>centers</w:t>
      </w:r>
      <w:r w:rsidR="005537B5" w:rsidRPr="005537B5">
        <w:rPr>
          <w:rFonts w:eastAsia="Arial"/>
        </w:rPr>
        <w:t>). Data Processing Agreement in place; compliant with Australian Privacy Principles for overseas disclosure under Privacy Act 1988 (</w:t>
      </w:r>
      <w:proofErr w:type="spellStart"/>
      <w:r w:rsidR="005537B5" w:rsidRPr="005537B5">
        <w:rPr>
          <w:rFonts w:eastAsia="Arial"/>
        </w:rPr>
        <w:t>Cth</w:t>
      </w:r>
      <w:proofErr w:type="spellEnd"/>
      <w:r w:rsidR="005537B5" w:rsidRPr="005537B5">
        <w:rPr>
          <w:rFonts w:eastAsia="Arial"/>
        </w:rPr>
        <w:t>)</w:t>
      </w:r>
      <w:r>
        <w:rPr>
          <w:rFonts w:eastAsia="Arial"/>
        </w:rPr>
        <w:t>.</w:t>
      </w:r>
    </w:p>
    <w:p w14:paraId="46377FBE" w14:textId="77777777" w:rsidR="00B17714" w:rsidRDefault="00000000">
      <w:pPr>
        <w:pStyle w:val="a4"/>
        <w:numPr>
          <w:ilvl w:val="0"/>
          <w:numId w:val="2"/>
        </w:numPr>
        <w:spacing w:after="80"/>
      </w:pPr>
      <w:r>
        <w:rPr>
          <w:rFonts w:eastAsia="Arial"/>
        </w:rPr>
        <w:t>Cloud service providers (e.g., AWS/Azure/GCP): Hosting must be in Australia or jurisdictions with equivalent data protection standards. Security configuration reviewed quarterly.</w:t>
      </w:r>
    </w:p>
    <w:p w14:paraId="5A2C8572" w14:textId="77777777" w:rsidR="00B17714" w:rsidRDefault="00000000">
      <w:pPr>
        <w:pStyle w:val="a4"/>
        <w:numPr>
          <w:ilvl w:val="0"/>
          <w:numId w:val="2"/>
        </w:numPr>
        <w:spacing w:after="80"/>
      </w:pPr>
      <w:r>
        <w:rPr>
          <w:rFonts w:eastAsia="Arial"/>
        </w:rPr>
        <w:lastRenderedPageBreak/>
        <w:t>Banking APIs: Access limited to Compliance Officer and IT Administrator. All API keys rotated quarterly and stored in a secrets management vault.</w:t>
      </w:r>
    </w:p>
    <w:p w14:paraId="7908560E" w14:textId="77777777" w:rsidR="00B17714" w:rsidRDefault="00000000">
      <w:pPr>
        <w:pStyle w:val="a4"/>
        <w:numPr>
          <w:ilvl w:val="0"/>
          <w:numId w:val="2"/>
        </w:numPr>
        <w:spacing w:after="80"/>
      </w:pPr>
      <w:r>
        <w:rPr>
          <w:rFonts w:eastAsia="Arial"/>
        </w:rPr>
        <w:t xml:space="preserve">All vendor agreements </w:t>
      </w:r>
      <w:proofErr w:type="gramStart"/>
      <w:r>
        <w:rPr>
          <w:rFonts w:eastAsia="Arial"/>
        </w:rPr>
        <w:t>include:</w:t>
      </w:r>
      <w:proofErr w:type="gramEnd"/>
      <w:r>
        <w:rPr>
          <w:rFonts w:eastAsia="Arial"/>
        </w:rPr>
        <w:t xml:space="preserve"> data breach notification obligation (within 72 hours), right-to-audit clause, data deletion on termination, and compliance with Australian Privacy Principles.</w:t>
      </w:r>
    </w:p>
    <w:p w14:paraId="4FDA49A7" w14:textId="77777777" w:rsidR="00B17714" w:rsidRDefault="00000000">
      <w:pPr>
        <w:pStyle w:val="1"/>
        <w:shd w:val="clear" w:color="auto" w:fill="1F4E79"/>
        <w:ind w:left="180"/>
      </w:pPr>
      <w:r>
        <w:t>9.  Policy Compliance and Review</w:t>
      </w:r>
    </w:p>
    <w:p w14:paraId="04485B2C" w14:textId="77777777" w:rsidR="00B17714" w:rsidRDefault="00000000">
      <w:pPr>
        <w:pStyle w:val="a4"/>
        <w:numPr>
          <w:ilvl w:val="0"/>
          <w:numId w:val="2"/>
        </w:numPr>
        <w:spacing w:after="80"/>
      </w:pPr>
      <w:r>
        <w:rPr>
          <w:rFonts w:eastAsia="Arial"/>
        </w:rPr>
        <w:t>All ELRC staff are required to acknowledge and comply with this Policy as a condition of employment. Acknowledgement is renewed annually.</w:t>
      </w:r>
    </w:p>
    <w:p w14:paraId="66DE4FBE" w14:textId="77777777" w:rsidR="00B17714" w:rsidRDefault="00000000">
      <w:pPr>
        <w:pStyle w:val="a4"/>
        <w:numPr>
          <w:ilvl w:val="0"/>
          <w:numId w:val="2"/>
        </w:numPr>
        <w:spacing w:after="80"/>
      </w:pPr>
      <w:r>
        <w:rPr>
          <w:rFonts w:eastAsia="Arial"/>
        </w:rPr>
        <w:t>Non-compliance may result in disciplinary action up to and including termination of employment.</w:t>
      </w:r>
    </w:p>
    <w:p w14:paraId="79A62508" w14:textId="1DE84792" w:rsidR="00B17714" w:rsidRDefault="00000000">
      <w:pPr>
        <w:pStyle w:val="a4"/>
        <w:numPr>
          <w:ilvl w:val="0"/>
          <w:numId w:val="2"/>
        </w:numPr>
        <w:spacing w:after="80"/>
      </w:pPr>
      <w:r>
        <w:rPr>
          <w:rFonts w:eastAsia="Arial"/>
        </w:rPr>
        <w:t xml:space="preserve">This Policy is reviewed annually by the Compliance Officer and IT </w:t>
      </w:r>
      <w:r w:rsidR="00487D9E">
        <w:rPr>
          <w:rFonts w:eastAsia="Arial"/>
        </w:rPr>
        <w:t>Administrator and</w:t>
      </w:r>
      <w:r>
        <w:rPr>
          <w:rFonts w:eastAsia="Arial"/>
        </w:rPr>
        <w:t xml:space="preserve"> updated within 30 days of any material change in regulatory requirements or significant security incident.</w:t>
      </w:r>
    </w:p>
    <w:p w14:paraId="75E78B28" w14:textId="77777777" w:rsidR="00B17714" w:rsidRDefault="00B17714">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B17714" w14:paraId="30979B38" w14:textId="77777777">
        <w:tc>
          <w:tcPr>
            <w:tcW w:w="4680" w:type="dxa"/>
            <w:tcBorders>
              <w:top w:val="single" w:sz="1" w:space="0" w:color="CCCCCC"/>
              <w:left w:val="single" w:sz="1" w:space="0" w:color="CCCCCC"/>
              <w:bottom w:val="single" w:sz="1" w:space="0" w:color="CCCCCC"/>
              <w:right w:val="single" w:sz="1" w:space="0" w:color="CCCCCC"/>
            </w:tcBorders>
            <w:tcMar>
              <w:top w:w="200" w:type="dxa"/>
              <w:left w:w="200" w:type="dxa"/>
              <w:bottom w:w="200" w:type="dxa"/>
              <w:right w:w="200" w:type="dxa"/>
            </w:tcMar>
          </w:tcPr>
          <w:p w14:paraId="4ED262E9" w14:textId="77777777" w:rsidR="00B17714" w:rsidRDefault="00000000">
            <w:r>
              <w:rPr>
                <w:rFonts w:eastAsia="Arial"/>
                <w:b/>
                <w:bCs/>
                <w:sz w:val="20"/>
                <w:szCs w:val="20"/>
              </w:rPr>
              <w:t>Approved By:</w:t>
            </w:r>
          </w:p>
          <w:p w14:paraId="78295557" w14:textId="396D96D8" w:rsidR="00B17714" w:rsidRDefault="00000000">
            <w:r>
              <w:rPr>
                <w:rFonts w:eastAsia="Arial"/>
              </w:rPr>
              <w:t>[</w:t>
            </w:r>
            <w:proofErr w:type="spellStart"/>
            <w:r w:rsidR="005537B5">
              <w:rPr>
                <w:rFonts w:eastAsia="Arial"/>
              </w:rPr>
              <w:t>Ziqian</w:t>
            </w:r>
            <w:proofErr w:type="spellEnd"/>
            <w:r w:rsidR="005537B5">
              <w:rPr>
                <w:rFonts w:eastAsia="Arial"/>
              </w:rPr>
              <w:t xml:space="preserve"> Tan</w:t>
            </w:r>
            <w:r>
              <w:rPr>
                <w:rFonts w:eastAsia="Arial"/>
              </w:rPr>
              <w:t>, Compliance Officer]</w:t>
            </w:r>
          </w:p>
          <w:p w14:paraId="64BBDC7F" w14:textId="77777777" w:rsidR="00B17714" w:rsidRDefault="00000000">
            <w:r>
              <w:rPr>
                <w:rFonts w:eastAsia="Arial"/>
                <w:sz w:val="20"/>
                <w:szCs w:val="20"/>
              </w:rPr>
              <w:t>Signature: ___________________________</w:t>
            </w:r>
          </w:p>
        </w:tc>
        <w:tc>
          <w:tcPr>
            <w:tcW w:w="4680" w:type="dxa"/>
            <w:tcBorders>
              <w:top w:val="single" w:sz="1" w:space="0" w:color="CCCCCC"/>
              <w:left w:val="single" w:sz="1" w:space="0" w:color="CCCCCC"/>
              <w:bottom w:val="single" w:sz="1" w:space="0" w:color="CCCCCC"/>
              <w:right w:val="single" w:sz="1" w:space="0" w:color="CCCCCC"/>
            </w:tcBorders>
            <w:tcMar>
              <w:top w:w="200" w:type="dxa"/>
              <w:left w:w="200" w:type="dxa"/>
              <w:bottom w:w="200" w:type="dxa"/>
              <w:right w:w="200" w:type="dxa"/>
            </w:tcMar>
          </w:tcPr>
          <w:p w14:paraId="1606D193" w14:textId="77777777" w:rsidR="00B17714" w:rsidRDefault="00000000">
            <w:r>
              <w:rPr>
                <w:rFonts w:eastAsia="Arial"/>
                <w:b/>
                <w:bCs/>
                <w:sz w:val="20"/>
                <w:szCs w:val="20"/>
              </w:rPr>
              <w:t>Date Approved:</w:t>
            </w:r>
          </w:p>
          <w:p w14:paraId="1EA2BB49" w14:textId="77777777" w:rsidR="00B17714" w:rsidRDefault="00000000">
            <w:r>
              <w:rPr>
                <w:rFonts w:eastAsia="Arial"/>
              </w:rPr>
              <w:t>01 February 2026</w:t>
            </w:r>
          </w:p>
          <w:p w14:paraId="63F7B2EA" w14:textId="77777777" w:rsidR="00B17714" w:rsidRDefault="00000000">
            <w:r>
              <w:rPr>
                <w:rFonts w:eastAsia="Arial"/>
                <w:sz w:val="20"/>
                <w:szCs w:val="20"/>
              </w:rPr>
              <w:t>Next Review Date: 01 February 2027</w:t>
            </w:r>
          </w:p>
        </w:tc>
      </w:tr>
    </w:tbl>
    <w:p w14:paraId="432A6F83" w14:textId="77777777" w:rsidR="00404178" w:rsidRDefault="00404178"/>
    <w:sectPr w:rsidR="00404178">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C5EF4" w14:textId="77777777" w:rsidR="00222BDF" w:rsidRDefault="00222BDF">
      <w:r>
        <w:separator/>
      </w:r>
    </w:p>
  </w:endnote>
  <w:endnote w:type="continuationSeparator" w:id="0">
    <w:p w14:paraId="5F504BD8" w14:textId="77777777" w:rsidR="00222BDF" w:rsidRDefault="0022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EE18" w14:textId="77777777" w:rsidR="00B17714" w:rsidRDefault="00000000">
    <w:pPr>
      <w:pBdr>
        <w:top w:val="single" w:sz="4" w:space="4" w:color="2E75B6"/>
      </w:pBdr>
    </w:pPr>
    <w:r>
      <w:rPr>
        <w:rFonts w:eastAsia="Arial"/>
        <w:color w:val="595959"/>
        <w:sz w:val="18"/>
        <w:szCs w:val="18"/>
      </w:rPr>
      <w:t>Doc Ref: ELRC-ISP-</w:t>
    </w:r>
    <w:proofErr w:type="gramStart"/>
    <w:r>
      <w:rPr>
        <w:rFonts w:eastAsia="Arial"/>
        <w:color w:val="595959"/>
        <w:sz w:val="18"/>
        <w:szCs w:val="18"/>
      </w:rPr>
      <w:t>001  |</w:t>
    </w:r>
    <w:proofErr w:type="gramEnd"/>
    <w:r>
      <w:rPr>
        <w:rFonts w:eastAsia="Arial"/>
        <w:color w:val="595959"/>
        <w:sz w:val="18"/>
        <w:szCs w:val="18"/>
      </w:rPr>
      <w:t xml:space="preserve">  Version </w:t>
    </w:r>
    <w:proofErr w:type="gramStart"/>
    <w:r>
      <w:rPr>
        <w:rFonts w:eastAsia="Arial"/>
        <w:color w:val="595959"/>
        <w:sz w:val="18"/>
        <w:szCs w:val="18"/>
      </w:rPr>
      <w:t>1.0  |</w:t>
    </w:r>
    <w:proofErr w:type="gramEnd"/>
    <w:r>
      <w:rPr>
        <w:rFonts w:eastAsia="Arial"/>
        <w:color w:val="595959"/>
        <w:sz w:val="18"/>
        <w:szCs w:val="18"/>
      </w:rPr>
      <w:t xml:space="preserve">  Effective: 01 February </w:t>
    </w:r>
    <w:proofErr w:type="gramStart"/>
    <w:r>
      <w:rPr>
        <w:rFonts w:eastAsia="Arial"/>
        <w:color w:val="595959"/>
        <w:sz w:val="18"/>
        <w:szCs w:val="18"/>
      </w:rPr>
      <w:t>2026  |</w:t>
    </w:r>
    <w:proofErr w:type="gramEnd"/>
    <w:r>
      <w:rPr>
        <w:rFonts w:eastAsia="Arial"/>
        <w:color w:val="595959"/>
        <w:sz w:val="18"/>
        <w:szCs w:val="18"/>
      </w:rPr>
      <w:t xml:space="preserve">  Next Review: 01 February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D7DF" w14:textId="77777777" w:rsidR="00222BDF" w:rsidRDefault="00222BDF">
      <w:r>
        <w:separator/>
      </w:r>
    </w:p>
  </w:footnote>
  <w:footnote w:type="continuationSeparator" w:id="0">
    <w:p w14:paraId="1E093196" w14:textId="77777777" w:rsidR="00222BDF" w:rsidRDefault="00222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3012" w14:textId="77777777" w:rsidR="00B17714" w:rsidRDefault="00000000">
    <w:pPr>
      <w:pBdr>
        <w:bottom w:val="single" w:sz="4" w:space="4" w:color="2E75B6"/>
      </w:pBdr>
      <w:tabs>
        <w:tab w:val="right" w:pos="9360"/>
      </w:tabs>
    </w:pPr>
    <w:r>
      <w:rPr>
        <w:rFonts w:eastAsia="Arial"/>
        <w:color w:val="595959"/>
        <w:sz w:val="18"/>
        <w:szCs w:val="18"/>
      </w:rPr>
      <w:t xml:space="preserve">ELRC TRADING PTY </w:t>
    </w:r>
    <w:proofErr w:type="gramStart"/>
    <w:r>
      <w:rPr>
        <w:rFonts w:eastAsia="Arial"/>
        <w:color w:val="595959"/>
        <w:sz w:val="18"/>
        <w:szCs w:val="18"/>
      </w:rPr>
      <w:t>LTD  |</w:t>
    </w:r>
    <w:proofErr w:type="gramEnd"/>
    <w:r>
      <w:rPr>
        <w:rFonts w:eastAsia="Arial"/>
        <w:color w:val="595959"/>
        <w:sz w:val="18"/>
        <w:szCs w:val="18"/>
      </w:rPr>
      <w:t xml:space="preserve">  Information Security Policy</w:t>
    </w:r>
    <w:r>
      <w:rPr>
        <w:sz w:val="18"/>
        <w:szCs w:val="18"/>
      </w:rPr>
      <w:tab/>
    </w:r>
    <w:r>
      <w:rPr>
        <w:rFonts w:eastAsia="Arial"/>
        <w:b/>
        <w:bCs/>
        <w:color w:val="C00000"/>
        <w:sz w:val="18"/>
        <w:szCs w:val="18"/>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90877"/>
    <w:multiLevelType w:val="hybridMultilevel"/>
    <w:tmpl w:val="BC6AE5B4"/>
    <w:lvl w:ilvl="0" w:tplc="C04CAEF0">
      <w:start w:val="1"/>
      <w:numFmt w:val="decimal"/>
      <w:lvlText w:val="%1."/>
      <w:lvlJc w:val="left"/>
      <w:pPr>
        <w:ind w:left="720" w:hanging="360"/>
      </w:pPr>
    </w:lvl>
    <w:lvl w:ilvl="1" w:tplc="D1C281E6">
      <w:numFmt w:val="decimal"/>
      <w:lvlText w:val=""/>
      <w:lvlJc w:val="left"/>
    </w:lvl>
    <w:lvl w:ilvl="2" w:tplc="C0228DEA">
      <w:numFmt w:val="decimal"/>
      <w:lvlText w:val=""/>
      <w:lvlJc w:val="left"/>
    </w:lvl>
    <w:lvl w:ilvl="3" w:tplc="EE003470">
      <w:numFmt w:val="decimal"/>
      <w:lvlText w:val=""/>
      <w:lvlJc w:val="left"/>
    </w:lvl>
    <w:lvl w:ilvl="4" w:tplc="0E948FA2">
      <w:numFmt w:val="decimal"/>
      <w:lvlText w:val=""/>
      <w:lvlJc w:val="left"/>
    </w:lvl>
    <w:lvl w:ilvl="5" w:tplc="DCD6B39C">
      <w:numFmt w:val="decimal"/>
      <w:lvlText w:val=""/>
      <w:lvlJc w:val="left"/>
    </w:lvl>
    <w:lvl w:ilvl="6" w:tplc="DA86D85C">
      <w:numFmt w:val="decimal"/>
      <w:lvlText w:val=""/>
      <w:lvlJc w:val="left"/>
    </w:lvl>
    <w:lvl w:ilvl="7" w:tplc="D4960366">
      <w:numFmt w:val="decimal"/>
      <w:lvlText w:val=""/>
      <w:lvlJc w:val="left"/>
    </w:lvl>
    <w:lvl w:ilvl="8" w:tplc="BF22F0D6">
      <w:numFmt w:val="decimal"/>
      <w:lvlText w:val=""/>
      <w:lvlJc w:val="left"/>
    </w:lvl>
  </w:abstractNum>
  <w:abstractNum w:abstractNumId="1" w15:restartNumberingAfterBreak="0">
    <w:nsid w:val="51D939C4"/>
    <w:multiLevelType w:val="hybridMultilevel"/>
    <w:tmpl w:val="B8307BB4"/>
    <w:lvl w:ilvl="0" w:tplc="096494CC">
      <w:start w:val="1"/>
      <w:numFmt w:val="bullet"/>
      <w:lvlText w:val="•"/>
      <w:lvlJc w:val="left"/>
      <w:pPr>
        <w:ind w:left="720" w:hanging="360"/>
      </w:pPr>
    </w:lvl>
    <w:lvl w:ilvl="1" w:tplc="ED022572">
      <w:start w:val="1"/>
      <w:numFmt w:val="bullet"/>
      <w:lvlText w:val="–"/>
      <w:lvlJc w:val="left"/>
      <w:pPr>
        <w:ind w:left="1080" w:hanging="360"/>
      </w:pPr>
    </w:lvl>
    <w:lvl w:ilvl="2" w:tplc="04407854">
      <w:numFmt w:val="decimal"/>
      <w:lvlText w:val=""/>
      <w:lvlJc w:val="left"/>
    </w:lvl>
    <w:lvl w:ilvl="3" w:tplc="8DD21F8A">
      <w:numFmt w:val="decimal"/>
      <w:lvlText w:val=""/>
      <w:lvlJc w:val="left"/>
    </w:lvl>
    <w:lvl w:ilvl="4" w:tplc="50AEB588">
      <w:numFmt w:val="decimal"/>
      <w:lvlText w:val=""/>
      <w:lvlJc w:val="left"/>
    </w:lvl>
    <w:lvl w:ilvl="5" w:tplc="A5D8E37E">
      <w:numFmt w:val="decimal"/>
      <w:lvlText w:val=""/>
      <w:lvlJc w:val="left"/>
    </w:lvl>
    <w:lvl w:ilvl="6" w:tplc="01BE4E56">
      <w:numFmt w:val="decimal"/>
      <w:lvlText w:val=""/>
      <w:lvlJc w:val="left"/>
    </w:lvl>
    <w:lvl w:ilvl="7" w:tplc="CA92D90E">
      <w:numFmt w:val="decimal"/>
      <w:lvlText w:val=""/>
      <w:lvlJc w:val="left"/>
    </w:lvl>
    <w:lvl w:ilvl="8" w:tplc="7E8AFE7E">
      <w:numFmt w:val="decimal"/>
      <w:lvlText w:val=""/>
      <w:lvlJc w:val="left"/>
    </w:lvl>
  </w:abstractNum>
  <w:abstractNum w:abstractNumId="2" w15:restartNumberingAfterBreak="0">
    <w:nsid w:val="63422922"/>
    <w:multiLevelType w:val="hybridMultilevel"/>
    <w:tmpl w:val="70ACF7B6"/>
    <w:lvl w:ilvl="0" w:tplc="AD0E9E68">
      <w:start w:val="1"/>
      <w:numFmt w:val="bullet"/>
      <w:lvlText w:val="●"/>
      <w:lvlJc w:val="left"/>
      <w:pPr>
        <w:ind w:left="720" w:hanging="360"/>
      </w:pPr>
    </w:lvl>
    <w:lvl w:ilvl="1" w:tplc="896A47AE">
      <w:start w:val="1"/>
      <w:numFmt w:val="bullet"/>
      <w:lvlText w:val="○"/>
      <w:lvlJc w:val="left"/>
      <w:pPr>
        <w:ind w:left="1440" w:hanging="360"/>
      </w:pPr>
    </w:lvl>
    <w:lvl w:ilvl="2" w:tplc="2B582BEA">
      <w:start w:val="1"/>
      <w:numFmt w:val="bullet"/>
      <w:lvlText w:val="■"/>
      <w:lvlJc w:val="left"/>
      <w:pPr>
        <w:ind w:left="2160" w:hanging="360"/>
      </w:pPr>
    </w:lvl>
    <w:lvl w:ilvl="3" w:tplc="0340FC04">
      <w:start w:val="1"/>
      <w:numFmt w:val="bullet"/>
      <w:lvlText w:val="●"/>
      <w:lvlJc w:val="left"/>
      <w:pPr>
        <w:ind w:left="2880" w:hanging="360"/>
      </w:pPr>
    </w:lvl>
    <w:lvl w:ilvl="4" w:tplc="E1423BFA">
      <w:start w:val="1"/>
      <w:numFmt w:val="bullet"/>
      <w:lvlText w:val="○"/>
      <w:lvlJc w:val="left"/>
      <w:pPr>
        <w:ind w:left="3600" w:hanging="360"/>
      </w:pPr>
    </w:lvl>
    <w:lvl w:ilvl="5" w:tplc="6EB8FA16">
      <w:start w:val="1"/>
      <w:numFmt w:val="bullet"/>
      <w:lvlText w:val="■"/>
      <w:lvlJc w:val="left"/>
      <w:pPr>
        <w:ind w:left="4320" w:hanging="360"/>
      </w:pPr>
    </w:lvl>
    <w:lvl w:ilvl="6" w:tplc="E8746F60">
      <w:start w:val="1"/>
      <w:numFmt w:val="bullet"/>
      <w:lvlText w:val="●"/>
      <w:lvlJc w:val="left"/>
      <w:pPr>
        <w:ind w:left="5040" w:hanging="360"/>
      </w:pPr>
    </w:lvl>
    <w:lvl w:ilvl="7" w:tplc="4B461998">
      <w:start w:val="1"/>
      <w:numFmt w:val="bullet"/>
      <w:lvlText w:val="●"/>
      <w:lvlJc w:val="left"/>
      <w:pPr>
        <w:ind w:left="5760" w:hanging="360"/>
      </w:pPr>
    </w:lvl>
    <w:lvl w:ilvl="8" w:tplc="3BFEF492">
      <w:start w:val="1"/>
      <w:numFmt w:val="bullet"/>
      <w:lvlText w:val="●"/>
      <w:lvlJc w:val="left"/>
      <w:pPr>
        <w:ind w:left="6480" w:hanging="360"/>
      </w:pPr>
    </w:lvl>
  </w:abstractNum>
  <w:num w:numId="1" w16cid:durableId="231041516">
    <w:abstractNumId w:val="2"/>
    <w:lvlOverride w:ilvl="0">
      <w:startOverride w:val="1"/>
    </w:lvlOverride>
  </w:num>
  <w:num w:numId="2" w16cid:durableId="177598203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14"/>
    <w:rsid w:val="00222BDF"/>
    <w:rsid w:val="00323956"/>
    <w:rsid w:val="00404178"/>
    <w:rsid w:val="00487D9E"/>
    <w:rsid w:val="005537B5"/>
    <w:rsid w:val="00B17714"/>
    <w:rsid w:val="00CE4B1E"/>
    <w:rsid w:val="00DC6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E9AF65C"/>
  <w15:docId w15:val="{4EB5FBA6-C2F4-3D43-A8B1-71698CE9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240" w:after="100"/>
      <w:outlineLvl w:val="0"/>
    </w:pPr>
    <w:rPr>
      <w:rFonts w:eastAsia="Arial"/>
      <w:b/>
      <w:bCs/>
      <w:color w:val="FFFFFF"/>
      <w:sz w:val="30"/>
      <w:szCs w:val="30"/>
    </w:rPr>
  </w:style>
  <w:style w:type="paragraph" w:styleId="2">
    <w:name w:val="heading 2"/>
    <w:uiPriority w:val="9"/>
    <w:unhideWhenUsed/>
    <w:qFormat/>
    <w:pPr>
      <w:spacing w:before="200" w:after="80"/>
      <w:outlineLvl w:val="1"/>
    </w:pPr>
    <w:rPr>
      <w:rFonts w:eastAsia="Arial"/>
      <w:b/>
      <w:bCs/>
      <w:color w:val="2E75B6"/>
      <w:sz w:val="24"/>
      <w:szCs w:val="24"/>
    </w:rPr>
  </w:style>
  <w:style w:type="paragraph" w:styleId="3">
    <w:name w:val="heading 3"/>
    <w:uiPriority w:val="9"/>
    <w:semiHidden/>
    <w:unhideWhenUsed/>
    <w:qFormat/>
    <w:pPr>
      <w:spacing w:before="140" w:after="60"/>
      <w:outlineLvl w:val="2"/>
    </w:pPr>
    <w:rPr>
      <w:rFonts w:eastAsia="Arial"/>
      <w:b/>
      <w:bCs/>
      <w:color w:val="1F4E79"/>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本 字符"/>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1495</Words>
  <Characters>8528</Characters>
  <Application>Microsoft Office Word</Application>
  <DocSecurity>0</DocSecurity>
  <Lines>71</Lines>
  <Paragraphs>20</Paragraphs>
  <ScaleCrop>false</ScaleCrop>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hao chen</cp:lastModifiedBy>
  <cp:revision>5</cp:revision>
  <dcterms:created xsi:type="dcterms:W3CDTF">2026-02-22T12:18:00Z</dcterms:created>
  <dcterms:modified xsi:type="dcterms:W3CDTF">2026-03-16T23:25:00Z</dcterms:modified>
</cp:coreProperties>
</file>